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ACPR/608/2021 vom 28. Juni 2021</w:t>
      </w:r>
    </w:p>
    <w:p>
      <w:r>
        <w:t>GE Cour de justice, 2021-06-28, FR</w:t>
      </w:r>
    </w:p>
    <w:p>
      <w:r>
        <w:rPr>
          <w:b/>
        </w:rPr>
        <w:t xml:space="preserve">Quelle: </w:t>
      </w:r>
      <w:r>
        <w:t>https://mcp.opencaselaw.ch/entscheid/ge_gerichte_ACPR_608_2021</w:t>
      </w:r>
    </w:p>
    <w:p>
      <w:r>
        <w:t>FR: GE_GERICHTE ACPR/608/2021 du 28 juin 2021</w:t>
      </w:r>
    </w:p>
    <w:p>
      <w:r>
        <w:t>IT: GE_GERICHTE ACPR/608/2021 del 28 giugno 2021</w:t>
      </w:r>
    </w:p>
    <w:p>
      <w:pPr>
        <w:pStyle w:val="Heading2"/>
      </w:pPr>
      <w:r>
        <w:t>Erwägungen</w:t>
      </w:r>
    </w:p>
    <w:p>
      <w:r>
        <w:rPr>
          <w:b/>
        </w:rPr>
        <w:t>E. 1</w:t>
      </w:r>
    </w:p>
    <w:p>
      <w:r>
        <w:t>La Chambre pénale de recours peut décider d'emblée de traiter sans échange d'écritures ni débats les recours manifestement mal fondés ou irrecevables (art. 390 al. 2 et 5 a contrario CPP). Tel est le cas en l'occurrence, au vu des considérations qui suivent.</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w:t>
      </w:r>
    </w:p>
    <w:p>
      <w:r>
        <w:t>- 5/11 - P/7772/2020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146 IV 76 consid. 2.2.1 p. 80 ; 145 IV 491 consid. 2.3 et 2.3.1 p. 495 ; arrêts du Tribunal fédéral 1B_446/2020 du 27 avril 2021 consid. 3.1 destiné à la publication ; 6B_752/2020 du 8 juin 2021 consid. 2.2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Celui qui entend se constituer partie plaignante doit toutefois rendre vraisemblable le préjudice et le lien de causalité entre celui-ci et l'infraction dénoncée (ATF 141 IV 1 consid. 3.1 p. 5 s.).</w:t>
      </w:r>
    </w:p>
    <w:p>
      <w:r>
        <w:rPr>
          <w:b/>
        </w:rPr>
        <w:t>E. 1.3</w:t>
      </w:r>
    </w:p>
    <w:p>
      <w:r>
        <w:t>En l'espèce, aucune ligne des écritures de recours n'est consacrée à démontrer la qualité de lésé des recourantes en lien avec les infractions dénoncées.</w:t>
      </w:r>
    </w:p>
    <w:p>
      <w:r>
        <w:rPr>
          <w:b/>
        </w:rPr>
        <w:t>E. 1.3.1</w:t>
      </w:r>
    </w:p>
    <w:p>
      <w:r>
        <w:t>Celles-ci, à savoir le vol (art. 139 CP) et la gestion déloyale (art. 158 CP), figurent au titre deuxième du code pénal consacré aux infractions contre le patrimoine.</w:t>
      </w:r>
    </w:p>
    <w:p>
      <w:r>
        <w:rPr>
          <w:b/>
        </w:rPr>
        <w:t>E. 1.3.2</w:t>
      </w:r>
    </w:p>
    <w:p>
      <w:r>
        <w:t>En sa qualité de propriétaire du patrimoine lésé, A______ a qualité pour agir pour se plaindre d’une non-entrée en matière sur ce point (Message du 21 décembre 2005 relatif à l'unification du droit de la procédure pénale, FF 2006 1148 ch. 2.3.3.1).</w:t>
      </w:r>
    </w:p>
    <w:p>
      <w:r>
        <w:rPr>
          <w:b/>
        </w:rPr>
        <w:t>E. 1.3.3</w:t>
      </w:r>
    </w:p>
    <w:p>
      <w:r>
        <w:t>En revanche, en reprochant aux mis en cause des infractions en lien avec la gestion des biens appartenant à sa mère, C______ ne rend pas vraisemblable en être</w:t>
      </w:r>
    </w:p>
    <w:p>
      <w:r>
        <w:t>- 6/11 - P/7772/2020 elle-même propriétaire, étant précisé que le fait que les meubles appartiennent à un côté de la famille – en l'occurrence C______ – n'y change rien. Faute d'être titulaire du bien juridique protégé par les infractions dénoncées, C______ ne peut revêtir la qualité de lésée, de sorte que son recours sera déclaré irrecevable.</w:t>
      </w:r>
    </w:p>
    <w:p>
      <w:r>
        <w:rPr>
          <w:b/>
        </w:rPr>
        <w:t>E. 3</w:t>
      </w:r>
    </w:p>
    <w:p>
      <w:r>
        <w:t>A______ estime qu’il existe une prévention suffisante d’infractions contre son patrimoine, soit plus particulièrement de vol (art. 139 CP) et de gestion déloyale (art. 158 CP).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arrêts du Tribunal fédéral 6B_417/2017 du 10 janvier 2018 consid. 2.1.2; 6B_185/2016 du 30 novembre 2016 consid. 2.1.2 et les références). En d'autres termes, il doit être certain que l'état de fait ne remplit les conditions d'aucune infraction pénale, ce qui est, par exemple, le cas des contestations de nature purement civile (ATF 137 IV 285 consid. 2.3 p. 287).</w:t>
      </w:r>
    </w:p>
    <w:p>
      <w:r>
        <w:rPr>
          <w:b/>
        </w:rPr>
        <w:t>E. 3.2</w:t>
      </w:r>
    </w:p>
    <w:p>
      <w:r>
        <w:t>L'art. 139 ch. 1 CP réprime le comportement de celui qui, pour se procurer ou procurer à un tiers un enrichissement illégitime, aura soustrait une chose mobilière appartenant à autrui dans le but de se l'approprier. L'auteur doit agir dans le dessein de se procurer ou de procurer à un tiers un enrichissement illégitime. Le dessein d'enrichissement peut résulter du seul fait de vouloir tirer un profit de la chose (B. CORBOZ, Les infractions en droit suisse, n. 11 ad art. 139). Un tel dessein fait défaut lorsque l'auteur fournit immédiatement la</w:t>
      </w:r>
    </w:p>
    <w:p>
      <w:r>
        <w:t>- 7/11 - P/7772/2020 contre-valeur de la chose qu'il s'approprie (ATF 114 IV 133 consid. 2). Le dol éventuel suffit (ATF 133 IV 21 consid. 6.1.2 p. 27 ; ATF 118 IV 27 consid. 3a p. 29 s., 32 consid. 2a p. 34 ; ATF 105 IV 29 consid. 3a p. 34). 3.3.1. Selon l'art. 158 ch. 1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3.3.2. Cette disposition suppose la réalisation de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3.3.3. Pour qu'il y ait gestion déloyale, il ne suffit pas que l'auteur ait été gérant – tel est le cas pour le curateur (art. 400 ss CC) (M. DUPUIS / L. MOREILLON / C. PIGUET / S. BERGER / M. MAZOU / V. RODIGARI (éds), Petit commentaire du Code pénal, 2e éd., Bâle 2017, n. 10 ad art. 158) –,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notamment des dispositions légales applicables (arrêts du Tribunal fédéral 6B_787/2016 du 2 mai 2017 consid. 2.3.1 et les références; 6B_412/2016 du 10 février 2017 consid. 2.3 et les références; 6B_845/2014 du 16 mars 2015 consid. 3.2; 6B_967/2013 du 21 février 2014 consid. 3.2).</w:t>
      </w:r>
    </w:p>
    <w:p>
      <w:r>
        <w:rPr>
          <w:b/>
        </w:rPr>
        <w:t>E. 3.4</w:t>
      </w:r>
    </w:p>
    <w:p>
      <w:r>
        <w:t>En l'espèce, la recourante se plaint de ne pas avoir été informée par les mis en cause de la résiliation de son bail à loyer et de la liquidation subséquente de son appartement, pensant que les biens s'y trouvant seraient stockés dans un garde- meuble. Elle leur reproche également d'avoir vendu ses meubles. Le SPAd, par l'intermédiaire de sa cheffe de secteur, a admis avoir résilié le contrat de bail à loyer relatif à l'appartement de la précitée et liquidé les biens s'y trouvant, à</w:t>
      </w:r>
    </w:p>
    <w:p>
      <w:r>
        <w:t>- 8/11 - P/7772/2020 l'exception de ceux choisi par elle pour intégrer la chambre qu'elle occupe au sein de l'EMS B______. Les biens, dont l'état le permettait, ont été mis en vente et le reste jeté. Ces décisions, conformes à la procédure en vigueur, avaient pour but de réduire les dépenses de la recourante, durablement placée en EMS, compte tenu de sa situation financière. La recourante ne démontre pas disposer des finances lui permettant de s'acquitter de son ancien loyer et/ou de la location d'un garde-meuble, en sus de ses charges actuelles. Au contraire, il ressort du dossier qu'elle se trouve au bénéfice de l'aide sociale. En outre, ainsi que cela ressort du contrat de vente produit par le SPAd, des meubles appartenant à la recourante ont été vendus pour CHF 200.-, somme devant être versée en sa faveur. À cet égard, l'intéressée ne prétend pas que cette somme ne lui aurait pas été versée, que d'autres meubles auraient pu faire l'objet de cette vente ou que la valeur perçue serait inférieure à la valeur effective du mobilier vendu. Que les meubles aient ensuite fait l'objet d'une offre de vente sur internet n'y change rien, ce d'autant plus qu'il n'est pas établi qu'il s'agisse des meubles de la recourante et que les offres aient été publiées par les mis en cause. Il apparait dès lors que les mis en cause, dans le cadre de la curatelle de gestion qui leur était confiée, ont agi en administrateurs diligents, à qui incombe la conservation du patrimoine de la recourante – voire son accroissement –. Une violation du devoir de gestion fait donc défaut. En outre, les précités n'ont pas agi dans le but de tirer un profit personnel de la vente des biens appartenant à la recourante, mais pour réduire ses dépenses, compte tenu de sa situation financière. Le dessein d'enrichissement légitime fait donc défaut. Au vu de ce qui précède, la question de l'obtention de l'aval du TPAE par le SPAd est pénalement irrelevante. Enfin, ce qui précède rend inutile une confrontation entre les protagonistes. C'est donc à juste titre que le Ministère public a estimé que les éléments constitutifs des infractions dénoncées n'étaient pas réalisés.</w:t>
      </w:r>
    </w:p>
    <w:p>
      <w:r>
        <w:rPr>
          <w:b/>
        </w:rPr>
        <w:t>E. 4</w:t>
      </w:r>
    </w:p>
    <w:p>
      <w:r>
        <w:t>Justifiée, l'ordonnance querellée sera donc confirmée.</w:t>
      </w:r>
    </w:p>
    <w:p>
      <w:r>
        <w:rPr>
          <w:b/>
        </w:rPr>
        <w:t>E. 5</w:t>
      </w:r>
    </w:p>
    <w:p>
      <w:r>
        <w:t>La recourante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w:t>
      </w:r>
    </w:p>
    <w:p>
      <w:r>
        <w:t>- 9/11 - P/7772/2020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est indigente, il a été jugé supra que ses griefs étaient juridiquement infondés. En l'absence de chance de succès de l'action civile, la requête d'assistance judiciaire ne peut donc qu'être rejetée.</w:t>
      </w:r>
    </w:p>
    <w:p>
      <w:r>
        <w:rPr>
          <w:b/>
        </w:rPr>
        <w:t>E. 6</w:t>
      </w:r>
    </w:p>
    <w:p>
      <w:r>
        <w:t>Les recourantes, qui succombent, supporteront, conjointement et solidairement (art. 418 al. 2 CPP), les frais envers l'État, fixés en totalité à CHF 900.- (art. 428 al. 1 CPP et 13 al. 1 du Règlement fixant le tarif des frais en matière pénale, RTFMP ; E 4 10.03). * * * * *</w:t>
      </w:r>
    </w:p>
    <w:p>
      <w:r>
        <w:t>- 10/11 - P/7772/2020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