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ACPR/604/2024 vom 21. Mai 2024</w:t>
      </w:r>
    </w:p>
    <w:p>
      <w:r>
        <w:t>GE Cour de justice, 2024-05-21, FR</w:t>
      </w:r>
    </w:p>
    <w:p>
      <w:r>
        <w:rPr>
          <w:b/>
        </w:rPr>
        <w:t xml:space="preserve">Quelle: </w:t>
      </w:r>
      <w:r>
        <w:t>https://mcp.opencaselaw.ch/entscheid/ge_gerichte_ACPR_604_2024</w:t>
      </w:r>
    </w:p>
    <w:p>
      <w:r>
        <w:t>FR: GE_GERICHTE ACPR/604/2024 du 21 mai 2024</w:t>
      </w:r>
    </w:p>
    <w:p>
      <w:r>
        <w:t>IT: GE_GERICHTE ACPR/604/2024 del 21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conteste la non-entrée en matière prononcée à la suite de sa plainte.</w:t>
      </w:r>
    </w:p>
    <w:p>
      <w:r>
        <w:rPr>
          <w:b/>
        </w:rPr>
        <w:t>E. 2.1</w:t>
      </w:r>
    </w:p>
    <w:p>
      <w:r>
        <w:t>À teneur de l'art.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w:t>
      </w:r>
    </w:p>
    <w:p>
      <w:r>
        <w:t>- 6/11 - P/27123/2022 comportement punissable ou lorsqu'un éventuel soupçon initial s'est entièrement dissipé (ATF 141 IV 87 consid. 1.3.1; arrêt du Tribunal fédéral 6B_196/2020 du 14 octobre 2020 consid. 3.1). 2.2.1. Se rend coupable de diffamation au sens de l'art. 173 CP quiconque, en s'adressant à un tiers, accuse une personne ou jette sur elle le soupçon de tenir une conduite contraire à l'honneur ou de tout autre fait propre à porter atteinte à sa considération et quiconque propage une telle accusation ou un tel soupçon (ch. 1). Le prévenu n'encourra aucune peine s'il prouve que les allégations qu'il a articulées sont conformes à la vérité ou qu'il avait des raisons sérieuses de les tenir de bonne foi pour vraies (art. 173 ch. 2 CP); il ne sera cependant pas admis à faire ces preuves s’il s’est exprimé sans motif suffisant et a agi principalement pour dire du mal d’autrui (art. 173 ch. 3 CP). 2.2.2. Le ministère public est admis, selon les circonstances, à rendre une ordonnance de non-entrée en matière, de classement ou une ordonnance pénale lorsqu'une infraction de diffamation (art. 173 CP) est en cause. Toute compétence décisionnelle ne lui est pas non plus déniée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 administration préalable. Un tel raisonnement serait contraire au principe d'économie de procédure puisqu'il tendrait à imposer un renvoi en jugement dans tous les cas où les conditions de l'art. 173 ch. 1 CP paraissent réalisées.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et les références citées). 2.2.3.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(cf. art. 173 ch. 2 CP ; arrêts du Tribunal fédéral 6B_1040/2022 du 23 août 2023 consid. 3.1.1et 6B_1215/2020 du 22 avril 2021 consid. 3.1). 2.2.4. Se rend coupable d'injure au sens de l'art. 177 CP quiconque attaque autrui dans son honneur par la parole, l’écriture, l’image, le geste ou par des voies de fait.</w:t>
      </w:r>
    </w:p>
    <w:p>
      <w:r>
        <w:t>- 7/11 - P/27123/2022 2.3.1. L'honneur protégé par ces dispositions est conçu de façon générale comme un droit au respect, qui est lésé par toute assertion propre à exposer la personne visée au mépris en sa qualité d'homme. Tel est le cas lorsqu'on évoque une infraction pénale ou un comportement clairement réprouvé par les conceptions morales généralement admises (ATF 145 IV 462 consid. 4.2.2).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2.3.2.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w:t>
      </w:r>
    </w:p>
    <w:p>
      <w:r>
        <w:rPr>
          <w:b/>
        </w:rPr>
        <w:t>E. 2.4</w:t>
      </w:r>
    </w:p>
    <w:p>
      <w:r>
        <w:t>L'art. 179 CP réprime, sur plainte, quiconque, sans en avoir le droit, ouvre un pli ou colis fermé pour prendre connaissance de son contenu ou quiconque, ayant pris connaissance de certains faits en ouvrant un pli ou colis fermé qui ne lui est pas destiné, divulgue ces faits ou en tire profit.</w:t>
      </w:r>
    </w:p>
    <w:p>
      <w:r>
        <w:rPr>
          <w:b/>
        </w:rPr>
        <w:t>E. 2.5</w:t>
      </w:r>
    </w:p>
    <w:p>
      <w:r>
        <w:t>En l'espèce, le recourant plaide selon trois axes pour soutenir le caractère attentatoire à l'honneur du discours tenu par le mis en cause lors de l'assemblée générale du 11 juin 2022 : les allégations d'un comportement "inapproprié" de sa part au sein du secrétariat ; sa participation à de prétendues intrigues pour destituer la présidence de l'association ; et les accusations d’avoir violé le "secret de fonction". Pour les deux premiers, la teneur des déclarations du mis en cause ne saurait tomber sous le coup des art. 173 ss CP. Sur les problèmes liés au secrétariat, le précité est resté évasif, parlant d'une lettre des anciens subordonnés du recourant qui s’affirmaient "épuisés" par le "comportement inapproprié" de ce dernier. Ces assertions, sans autre détail, ne permettaient pas à un tiers non averti – et même pas, en l'occurrence, aux participants à l'assemblée générale – de soupçonner la nature du comportement en question, et notamment pas d’en inférer un caractère pénalement qualifié. Les termes utilisés ne constituent pas un reproche univoque contre le recourant ni une atteinte à l'honneur de celui-ci. Ils renvoient à son attitude dans l’exercice de ses tâches contractuelles et à la réaction des membres du secrétariat dont il avait la responsabilité, autrement dit à un contexte purement professionnel. Ne sont pas non plus attentatoires à l’honneur les explications du mis en cause sur de prétendus agissements "en sous-main" du recourant, qui auraient visé à contribuer à "se débarrasser" des co-présidents de l'association. Les termes utilisés peuvent,</w:t>
      </w:r>
    </w:p>
    <w:p>
      <w:r>
        <w:t>- 8/11 - P/27123/2022 certes, dépeindre l'intéressé comme un intriguant, mais en tout cas pas comme une personne méprisable au sens du droit pénal. Au surplus, ce passage du discours s’inscrivait dans le cadre de la vie de l’association, en particulier la composition et la formation du comité, puisque le locuteur entendait, expressément, revenir sur des événements survenus à ce sujet lors de la précédente assemblée générale et exposer les derniers développements depuis lors. L'accusation de violation du "secret de fonction" succède immédiatement à la partie du discours où le mis en cause affirme disposer de "la preuve indubitable" de ce qu'il venait d’avancer, à savoir le courriel du 12 mai 2022. Le contenu de ce message, dont le recourant est le premier destinataire – alors qu’à cette date-là il n’était plus employé par l’association et que son auteur [H______] avait quitté le comité à l’assemblée générale précédente –, montre que le mis en cause ne doutait pas – et n’avait pas de raison de douter – de l’exactitude de ses allégations, à savoir que ledit message prouvait que le recourant ne s’était pas tenu au secret auquel il était encore astreint malgré son licenciement, pour avoir entretenu des contacts avec une personne extérieure au comité qui cherchait à recruter des candidatures pour rejoindre cet organe de l’association. En tenant compte des explications données au début de l’allocution et de la teneur du courriel – lu peu auparavant à l'assemblée –, on comprend que le mis en cause reprochait au recourant d'avoir divulgué des informations sur "le fonctionnement de l'association", en lien avec le système d'élection du comité et deux candidats en lice lors de l’assemblée générale de 2021 (cf. pièce n° 1 jointe à la plainte). Peu importe que le recourant n’ait pas été soumis, dans le cadre de son emploi, au secret de fonction protégé par l'art. 320 CP. Il restait tenu par une obligation de confidentialité, telle qu’elle s’exprime à l’art. 12 de son contrat de travail. Peu importe aussi que cette disposition contractuelle utilise la notion de secret "professionnel" dans un sens qui ne semble pas exactement celui des titulaires énumérés à l’art. 321 CP. Malgré cette terminologie et indépendamment du caractère sensible des activités statutaires (que le recourant n’étaye pas), il apparaît que le mis en cause reprochait à celui-ci, non pas d'avoir enfreint une disposition pénale, mais de n'avoir pas respecté le devoir de confidentialité auquel le soumettait son contrat de travail encore après la cessation des rapports contractuels, ce qui est du reste le contenu de la lettre de résiliation. Même si tel devait être le cas, le mis en cause pourrait se prévaloir de preuves libératoires. Non seulement il avait des raisons suffisantes de tenir ses déclarations pour vraies, puisqu'il voyait dans le courriel du 12 mai 2022 la "preuve indubitable" de ses assertions, mais sa qualité de membre du comité de l'association – et même de coprésident – lui conférait un intérêt légitime et suffisant, si ce n’est le devoir légal</w:t>
      </w:r>
    </w:p>
    <w:p>
      <w:r>
        <w:t>- 9/11 - P/27123/2022 (cf. art. 64 al. 1 et 69 al. 1 CC), d’informer les membres réunis en assemblée générale sur un point important de la vie de l’association, ne serait-ce qu’au vu du contexte conflictuel qui semble avoir plané sur l’assemblée générale précédente, en 2021. En définitive, les faits dénoncés ne réalisent pas les conditions des infractions protégeant l'honneur.</w:t>
      </w:r>
    </w:p>
    <w:p>
      <w:r>
        <w:rPr>
          <w:b/>
        </w:rPr>
        <w:t>E. 2.6</w:t>
      </w:r>
    </w:p>
    <w:p>
      <w:r>
        <w:t>Reste la violation de secrets privés. Nul n'est besoin de trancher la controverse de savoir si un courriel tombe dans le champ d'application de l'art. 179 CP (cf. A. MACALUSO / L. MOREILLON / N. QUELOZ (éds), Commentaire romand, Code pénal II, vol. II, Partie spéciale : art. 111-392 CP, Bâle 2017). Le message en cause a été envoyé sur la boîte électronique professionnelle du recourant près de dix mois après son licenciement. Ce dernier n'a jamais allégué – ni démontré – avoir, à l'époque, l'usage exclusif de cet outil informatique, mis à disposition par son employeur. Il n'est également pas établi que cette boîte électronique eût été protégée par un mot de passe. Enfin, le contrat autorisait l’employeur à opérer des vérifications sur les diverses connexions internet à disposition du recourant. Par surcroît, au vu du temps écoulé depuis la fin des rapports de travail, il est raisonnable de considérer que l'adresse électronique au nom du recourant était (re)devenue librement accessible à l'association, laquelle pouvait prendre connaissance du courriel du 12 mai 2022. Là aussi, les conditions de l'infraction en cause ne sont pas réunies.</w:t>
      </w:r>
    </w:p>
    <w:p>
      <w:r>
        <w:rPr>
          <w:b/>
        </w:rPr>
        <w:t>E. 3</w:t>
      </w:r>
    </w:p>
    <w:p>
      <w:r>
        <w:t>Justifiée, l'ordonnance querellée sera donc confirmée. Le recours, qui s'avère infondé, pouvait être d'emblée traité sans échange d'écritures ni débats (art. 390 al. 2 et 5 a contrario CPP).</w:t>
      </w:r>
    </w:p>
    <w:p>
      <w:r>
        <w:rPr>
          <w:b/>
        </w:rPr>
        <w:t>E. 4</w:t>
      </w:r>
    </w:p>
    <w:p>
      <w:r>
        <w:t>Le recourant, qui succombe, supportera les frais envers l'État, fixés en intégralité à CHF 900.- (art. 428 al. 1 CPP et 13 al. 1 du Règlement fixant le tarif des frais en matière pénale, RTFMP; E 4 10.03). * * * * *</w:t>
      </w:r>
    </w:p>
    <w:p>
      <w:r>
        <w:t>- 10/11 - P/27123/2022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