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ACPR/604/2018 vom 21. Juni 2018</w:t>
      </w:r>
    </w:p>
    <w:p>
      <w:r>
        <w:t>GE Cour de justice, 2018-06-21, FR</w:t>
      </w:r>
    </w:p>
    <w:p>
      <w:r>
        <w:rPr>
          <w:b/>
        </w:rPr>
        <w:t xml:space="preserve">Quelle: </w:t>
      </w:r>
      <w:r>
        <w:t>https://mcp.opencaselaw.ch/entscheid/ge_gerichte_ACPR_604_2018</w:t>
      </w:r>
    </w:p>
    <w:p>
      <w:r>
        <w:t>FR: GE_GERICHTE ACPR/604/2018 du 21 juin 2018</w:t>
      </w:r>
    </w:p>
    <w:p>
      <w:r>
        <w:t>IT: GE_GERICHTE ACPR/604/2018 del 21 giugno 2018</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3.1</w:t>
      </w:r>
    </w:p>
    <w:p>
      <w:r>
        <w:t>Compris comme l'un des aspects de la notion générale de procès équitable au sens de l'art. 29 Cst., 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(art. 107 al. 1 let. a CPP; ATF 140 I 285 consid. 6.3.1; 137 II 266 consid. 3.2; 135 II 286 consid. 5.1 et les références). Il comprend également le droit d'en obtenir copie (art. 102 al. 3 CPP; ATF 117 Ia 424 consid. 28b p. 429; 116 Ia 325 consid. 3a p. 326). Pour que la consultation du dossier soit utile, il faut qu'y figure tout ce qui concerne la cause. Le droit d'être entendu n'est ainsi pas respecté lorsque le dossier mis à disposition est incomplet (ATF 115 Ia 97 consid. 4c p. 99; A. AUER / G. MALINVERNI / M. HOTTELIER, Droit constitutionnel suisse, vol. II, Berne 2013, 3ème éd., n. 1338).</w:t>
      </w:r>
    </w:p>
    <w:p>
      <w:r>
        <w:rPr>
          <w:b/>
        </w:rPr>
        <w:t>E. 3.2</w:t>
      </w:r>
    </w:p>
    <w:p>
      <w:r>
        <w:t>Le dossier d'une instruction pénale est, notamment, constitué des procès-verbaux de procédure et d’auditions et des pièces réunies par l’autorité pénale (art. 100 al. 1 let. a et b CPP), soit ici le Ministère public (art. 12 let. b CPP), qui a la direction de la procédure (art. 61 let. a CPP). L’art. 100 CPP ne peut que s’inscrire dans les fins qui sont celles d’une instruction pénale, à savoir établir l’état de fait et l’appréciation juridique du cas – autrement dit, vérifier et étayer les soupçons initiaux de la commission d’une infraction pénale (cf. art. 309 al. 1 let. a CPP) – , de telle façon qu’il puisse être mis un terme à la procédure préliminaire (art. 308 al. 1 CPP), que ce soit par le prononcé d’une ordonnance pénale, par la mise en accusation ou par le classement de la poursuite. Ainsi, le Ministère public, qui dispose d’un large pouvoir d’appréciation dans le choix et le tri des pièces à verser à son dossier, doit à tout le moins retenir celles qui sont en lien avec l’état de fait ("tatbezogen") et écarter celles qui sont manifestement sans pertinence pour l’issue de la procédure, c’est-à-dire celles qui ne contribueront ni à l’établissement des faits, ni à la fixation de la peine (M. NIGGLI /M. HEER /H. WIPRÄCHTIGER, Schweizerische Strafprozessordnung</w:t>
      </w:r>
    </w:p>
    <w:p>
      <w:r>
        <w:t>- 4/6 - P/16017/2006 /Schweizerische Jugendstrafprozessordnung, Basler Kommentar StPO/JStPO, Bâle 2014, 2ème éd., n. 12 à 14 ad art. 100 CPP). Il en résulte que toutes les pièces éditées et réunies par les autorités pénales, de même que celles produites à titre de moyens de preuve, doivent être versées au dossier. Les notes personnelles de l'autorité ou des parties, les documents de travail et les rapports strictement internes ne font en principe pas partie du dossier, pour autant qu'ils ne soient pas cités en cours de procédure ou que leur existence n'ait pas été portée, d'une manière ou d'une autre, à la connaissance des parties, auxquels cas ils devront être versés au dossier (A. KUHN /Y. JEANNERET (éds), Commentaire romand : Code de procédure pénale suisse, Bâle 2011, n. 1 ad art. 100; arrêt du Tribunal pénal fédéral 2005.119 consid. 2.2).</w:t>
      </w:r>
    </w:p>
    <w:p>
      <w:r>
        <w:rPr>
          <w:b/>
        </w:rPr>
        <w:t>E. 3.3</w:t>
      </w:r>
    </w:p>
    <w:p>
      <w:r>
        <w:t>En l'espèce, le courrier litigieux fait partie d'une correspondance échangée entre le plaignant et le Procureur général, lequel n'est pas en charge de la présente procédure. Rien ne permet par ailleurs de considérer que la missive du 10 avril 2018 aurait été portée à la connaissance du Procureur C______, qui n'en était pas le destinataire. A fortiori, rien n'indique qu'il l'ait eue en mains, la teneur de la décision querellée laissant au demeurant plutôt penser le contraire. Par conséquent, quand bien même ce courrier semble se référer à la présente procédure, il ne saurait être considéré comme en faisant partie ou comme devant y être par nature intégré, la situation étant notamment toute autre que celle visée dans l'arrêt du Tribunal pénal fédéral précité, dans lequel le document litigieux correspondait à un rapport faisant état, dans le cadre d'une enquête financière, de soupçons de la participation de la partie mise en cause à une organisation criminelle. Dans ces conditions, le recourant ne saurait se prévaloir d'un droit à l'obtention de ce document en invoquant une violation de son droit d'être entendu. Pour le surplus, il n'allègue pas que ce document serait susceptible de revêtir une quelconque pertinence pour l'issue de la procédure.</w:t>
      </w:r>
    </w:p>
    <w:p>
      <w:r>
        <w:rPr>
          <w:b/>
        </w:rPr>
        <w:t>E. 4</w:t>
      </w:r>
    </w:p>
    <w:p>
      <w:r>
        <w:t>Justifiée, la décision querellée sera donc confirmée.</w:t>
      </w:r>
    </w:p>
    <w:p>
      <w:r>
        <w:rPr>
          <w:b/>
        </w:rPr>
        <w:t>E. 5</w:t>
      </w:r>
    </w:p>
    <w:p>
      <w:r>
        <w:t>Le recourant, qui succombe, supportera les frais envers l'État, qui comprendront un émolument de CHF 800.- (art. 428 al. 1 CPP et 13 al. 1 du Règlement fixant le tarif des frais en matière pénale, RTFMP ; E 4 10.03).</w:t>
      </w:r>
    </w:p>
    <w:p>
      <w:r>
        <w:t>- 5/6 - P/16017/2006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