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ACPR/603/2022 vom 15. Juli 2022</w:t>
      </w:r>
    </w:p>
    <w:p>
      <w:r>
        <w:t>GE Cour de justice, 2022-07-15, FR</w:t>
      </w:r>
    </w:p>
    <w:p>
      <w:r>
        <w:rPr>
          <w:b/>
        </w:rPr>
        <w:t xml:space="preserve">Quelle: </w:t>
      </w:r>
      <w:r>
        <w:t>https://mcp.opencaselaw.ch/entscheid/ge_gerichte_ACPR_603_2022</w:t>
      </w:r>
    </w:p>
    <w:p>
      <w:r>
        <w:t>FR: GE_GERICHTE ACPR/603/2022 du 15 juillet 2022</w:t>
      </w:r>
    </w:p>
    <w:p>
      <w:r>
        <w:t>IT: GE_GERICHTE ACPR/603/2022 del 15 luglio 2022</w:t>
      </w:r>
    </w:p>
    <w:p>
      <w:pPr>
        <w:pStyle w:val="Heading2"/>
      </w:pPr>
      <w:r>
        <w:t>Erwägungen</w:t>
      </w:r>
    </w:p>
    <w:p>
      <w:r>
        <w:rPr>
          <w:b/>
        </w:rPr>
        <w:t>E. 1</w:t>
      </w:r>
    </w:p>
    <w:p>
      <w:r>
        <w:t>Le recours est recevable pour avoir été déposé selon la forme et dans le délai prescrits – la décision querellée ayant été communiquée par simple pli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94 al. 1 CPP, une partie peut demander la restitution d'un délai imparti pour accomplir un acte de procédure si elle a été empêchée de l'observer et si</w:t>
      </w:r>
    </w:p>
    <w:p>
      <w:r>
        <w:t>- 4/6 - P/21570/2021 elle est de ce fait exposée à un préjudice important et irréparable. Elle doit toutefois rendre vraisemblable que le défaut n'est imputable à aucune faute de sa part. Une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6B_158/2012 du 27 juillet 2012 consid. 3.2 et les références citées). En d'autres termes, il faut comprendre, par empêchement non fautif, toute circonstance qui aurait empêché une partie consciencieuse d'agir dans le délai fixé (ACPR/196/2014 du 8 avril 2014).</w:t>
      </w:r>
    </w:p>
    <w:p>
      <w:r>
        <w:rPr>
          <w:b/>
        </w:rPr>
        <w:t>E. 3.2</w:t>
      </w:r>
    </w:p>
    <w:p>
      <w:r>
        <w:t>En l'espèce, il a désormais été statué que l'ordonnance pénale du 16 décembre 2021 avait valablement été notifiée au recourant, que celui-ci, pour avoir été interpellé le 20 octobre 2021, devait s'attendre à cette notification, et que son opposition expédiée le 24 mars 2022 était tardive. Le recourant prétend avoir pris toutes les mesures pour recevoir ladite ordonnance. À tort. Il admet s'être absenté de son domicile avec sa compagne et leur fils le 17 décembre 2021 pour rejoindre sa famille en France puis se rendre en vacances. Il n'était revenu chez lui que le 16 janvier 2022. Quand bien même le recourant avait prolongé le délai de garde postale au 19 janvier 2022, ce qui, de jurisprudence constante, est sans effet sur le processus de notification, il n'a pas retiré son pli dans l'intervalle et ne fournit à cet égard aucune explication sur le motif qui l'en aurait empêché. Il n'apparaît pas non plus que malgré la période "difficile" qu'il explique avoir vécu, il aurait été empêché de désigner un tiers pour gérer administrativement ses affaires s'il s'en sentait lui-même incapable. Il n'existe ainsi aucun empêchement non fautif au sens de la jurisprudence susmentionnée.</w:t>
      </w:r>
    </w:p>
    <w:p>
      <w:r>
        <w:rPr>
          <w:b/>
        </w:rPr>
        <w:t>E. 4</w:t>
      </w:r>
    </w:p>
    <w:p>
      <w:r>
        <w:t>Justifiée, l'ordonnance querellée sera donc confirmée.</w:t>
      </w:r>
    </w:p>
    <w:p>
      <w:r>
        <w:rPr>
          <w:b/>
        </w:rPr>
        <w:t>E. 5</w:t>
      </w:r>
    </w:p>
    <w:p>
      <w:r>
        <w:t>Le recourant, qui succombe, supportera les frais envers l'État, qui comprennent un émolument de décision de CHF 900.- (art. 428 al. 1 CPP et 13 al. 1 du Règlement fixant le tarif des frais en matière pénale, RTFMP ; E 4 10.03). * * * * *</w:t>
      </w:r>
    </w:p>
    <w:p>
      <w:r>
        <w:t>- 5/6 - P/21570/2021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