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ACPR/600/2023 vom 3. April 2023</w:t>
      </w:r>
    </w:p>
    <w:p>
      <w:r>
        <w:t>GE Cour de justice, 2023-04-03, FR</w:t>
      </w:r>
    </w:p>
    <w:p>
      <w:r>
        <w:rPr>
          <w:b/>
        </w:rPr>
        <w:t xml:space="preserve">Quelle: </w:t>
      </w:r>
      <w:r>
        <w:t>https://mcp.opencaselaw.ch/entscheid/ge_gerichte_ACPR_600_2023</w:t>
      </w:r>
    </w:p>
    <w:p>
      <w:r>
        <w:t>FR: GE_GERICHTE ACPR/600/2023 du 3 avril 2023</w:t>
      </w:r>
    </w:p>
    <w:p>
      <w:r>
        <w:t>IT: GE_GERICHTE ACPR/600/2023 del 3 aprile 2023</w:t>
      </w:r>
    </w:p>
    <w:p>
      <w:pPr>
        <w:pStyle w:val="Heading2"/>
      </w:pPr>
      <w:r>
        <w:t>Erwägungen</w:t>
      </w:r>
    </w:p>
    <w:p>
      <w:r>
        <w:rPr>
          <w:b/>
        </w:rPr>
        <w:t>E. 1</w:t>
      </w:r>
    </w:p>
    <w:p>
      <w:r>
        <w:t>Le recours est recevable pour avoir été déposé selon la forme et dans le délai prescrits (art. 90 al. 2, 385 al. 1 et 396 al. 1 CPP) – les formalités de notification (art. 85 al. 2 CPP) n'ayant pas été observées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2.1</w:t>
      </w:r>
    </w:p>
    <w:p>
      <w:r>
        <w:t>Selon l'art. 132 CPP, les intérêts du prévenu justifient une défense d'office notamment lorsque la cause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- 4/6 -</w:t>
      </w:r>
    </w:p>
    <w:p>
      <w:r>
        <w:t>P/23673/2022 Si les deux conditions mentionnées à l'art.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(arrêt 1B_494/2019 du 20 décembre 2019 consid. 3.1).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w:t>
      </w:r>
    </w:p>
    <w:p>
      <w:r>
        <w:rPr>
          <w:b/>
        </w:rPr>
        <w:t>E. 2.2</w:t>
      </w:r>
    </w:p>
    <w:p>
      <w:r>
        <w:t>En l'espèce, la peine concrètement encourue par la recourante est une amende, de sorte que la cause est de très peu de gravité, au sens de l'art. 132 al. 3 CPP, et peut être qualifiée de bagatelle. En outre, l'examen des circonstances permet de retenir que la cause ne présente pas de difficultés particulières, du point de vue de l'établissement des faits ou des questions juridiques soulevées, que la recourante ne serait pas en mesure de résoudre seule. Les faits et dispositions applicables sont clairement circonscrits et ne présentent aucune difficulté de compréhension ou d'application pour l'intéressée. La recourante s'est déjà exprimée à leur égard lors de son audition à la police et a parfaitement compris ce qui lui était reproché. Quant à l'acte d'opposition, il n'avait pas besoin d'être motivé, de sorte qu'il ne nécessitait pas le concours d'un avocat. Reste à examiner s'il existe d'autres motifs que ceux prévus à l'art. 132 al. 2 CPP qui justifieraient une défense d'office. Force est de constater que ladite cause place la recourante dans une situation délicate. La procédure a été ouverte pour voies de fait à la suite de l'intervention de la police et la plainte du père des enfants. En outre, la recourante fait face à une procédure en cours devant le Tribunal civil au centre de laquelle se jouent notamment les relations avec ses enfants en lien avec les faits pénaux reprochés. Face à cette procédure, l'issue de la procédure pénale est dès lors particulièrement importante pour la recourante. Au vu des circonstances, il se justifie ainsi de la mettre au bénéfice d'une défense d'office, au jour du dépôt de sa demande.</w:t>
      </w:r>
    </w:p>
    <w:p>
      <w:r>
        <w:t>- 5/6 -</w:t>
      </w:r>
    </w:p>
    <w:p>
      <w:r>
        <w:t>P/23673/2022 La question de l'indigence, non remise en cause par le Ministère public, n'a ainsi pas besoin d'être examinée. Le recours est admis; partant, l'ordonnance querellée sera annulée. La défense d'office de la recourante sera admise à compter du 18 janvier 2023 et Me B______ sera désigné à cet effet.</w:t>
      </w:r>
    </w:p>
    <w:p>
      <w:r>
        <w:rPr>
          <w:b/>
        </w:rPr>
        <w:t>E. 3</w:t>
      </w:r>
    </w:p>
    <w:p>
      <w:r>
        <w:t>La procédure de recours contre le refus de l'octroi de l'assistance juridique ne donne pas lieu à la perception de frais (art. 20 RAJ).</w:t>
      </w:r>
    </w:p>
    <w:p>
      <w:r>
        <w:rPr>
          <w:b/>
        </w:rPr>
        <w:t>E. 4</w:t>
      </w:r>
    </w:p>
    <w:p>
      <w:r>
        <w:t>L'indemnité du défenseur d'office sera fixée à la fin de la procédure (art. 135 al. 2 CPP). * * * * *</w:t>
      </w:r>
    </w:p>
    <w:p>
      <w:r>
        <w:t>- 6/6 -</w:t>
      </w:r>
    </w:p>
    <w:p>
      <w:r>
        <w:t>P/23673/2022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