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ACPR/600/2022 vom 1. Juli 2022</w:t>
      </w:r>
    </w:p>
    <w:p>
      <w:r>
        <w:t>GE Cour de justice, 2022-07-01, FR</w:t>
      </w:r>
    </w:p>
    <w:p>
      <w:r>
        <w:rPr>
          <w:b/>
        </w:rPr>
        <w:t xml:space="preserve">Quelle: </w:t>
      </w:r>
      <w:r>
        <w:t>https://mcp.opencaselaw.ch/entscheid/ge_gerichte_ACPR_600_2022</w:t>
      </w:r>
    </w:p>
    <w:p>
      <w:r>
        <w:t>FR: GE_GERICHTE ACPR/600/2022 du 1 juillet 2022</w:t>
      </w:r>
    </w:p>
    <w:p>
      <w:r>
        <w:t>IT: GE_GERICHTE ACPR/600/2022 del 1 luglio 2022</w:t>
      </w:r>
    </w:p>
    <w:p>
      <w:pPr>
        <w:pStyle w:val="Heading2"/>
      </w:pPr>
      <w:r>
        <w:t>Erwägungen</w:t>
      </w:r>
    </w:p>
    <w:p>
      <w:r>
        <w:rPr>
          <w:b/>
        </w:rPr>
        <w:t>E. 1</w:t>
      </w:r>
    </w:p>
    <w:p>
      <w:r>
        <w:t>La recourante a déposé deux recours dirigés contre deux décisions distinctes. Ceux-ci émanent de la même personne et concernent la même procédure. Le recours relatif à la décision de refus d'octroi de l'assistance judiciaire étant en substance fondé sur le même grief que le recours contre l'ordonnance de refus de reconnaître à la recourante le statut de partie plaignante, il se justifie, par économie de procédure, de les joindre et de les traiter par un seul arrêt.</w:t>
      </w:r>
    </w:p>
    <w:p>
      <w:r>
        <w:t>- 5/9 - P/13715/2021</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d'une personne qui s'est vu refuser la qualité de partie plaignante et qui a donc qualité pour recourir, ayant un intérêt juridiquement protégé à la modification ou à l'annulation de la décision querellée (art. 104 al. 1 let. b, 118 et 382 al. 1 CPP).</w:t>
      </w:r>
    </w:p>
    <w:p>
      <w:r>
        <w:rPr>
          <w:b/>
        </w:rPr>
        <w:t>E. 3</w:t>
      </w:r>
    </w:p>
    <w:p>
      <w:r>
        <w:t>La Chambre de céans peut décider d'emblée de traiter sans échange d'écritures ni débats les recours manifestement irrecevables ou mal fondés (art. 390 al. 2 et 5 a contrario CPP). Tel est le cas en l'occurrence, au vu des considérations qui suivent.</w:t>
      </w:r>
    </w:p>
    <w:p>
      <w:r>
        <w:rPr>
          <w:b/>
        </w:rPr>
        <w:t>E. 4</w:t>
      </w:r>
    </w:p>
    <w:p>
      <w:r>
        <w:t>La recourante fait grief au Ministère public de lui avoir dénié la qualité de partie plaignante.</w:t>
      </w:r>
    </w:p>
    <w:p>
      <w:r>
        <w:rPr>
          <w:b/>
        </w:rPr>
        <w:t>E. 4.1</w:t>
      </w:r>
    </w:p>
    <w:p>
      <w:r>
        <w:t>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Selon l'art. 117 al. 3 CPP, les proches de la victime jouissent des mêmes droits que celle-ci lorsqu'ils se portent partie civile contre les prévenus. À teneur de l'art. 122 al. 2 CPP, les proches de la victime peuvent, en qualité de partie plaignante, déposer contre le prévenu des conclusions civiles propres. La combinaison de ces deux dispositions implique que le proche de la victime fasse valoir des prétentions civiles propres dans la procédure pénale, à la différence du lésé ou de la victime, lesquels peuvent se constituer partie plaignante au pénal indépendamment de conclusions civiles (cf. art. 119 al. 2 CPP). Les prétentions invoquées par le proche doivent par ailleurs apparaître crédibles au vu de ses allégués. Une preuve stricte, laquelle est l'objet du procès au fond, n'est pas nécessaire. Il ne suffit cependant pas d'articuler des prétentions civiles sans aucun fondement, voire fantaisistes, pour bénéficier des droits procéduraux : il faut une certaine vraisemblance que les prétentions invoquées soient fondées (ATF 139 IV 89 consid. 2.2). C'est le droit civil matériel qui établit dans quelle mesure les proches de la victime visés par l'art. 122 al. 2 CPP ont des droits propres contre l'auteur de l'infraction. En vertu de l'art. 47 CO, le juge peut, en tenant compte de circonstances particulières, allouer à la victime de lésions corporelles ou, en cas de mort d'homme, à la famille une indemnité équitable à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w:t>
      </w:r>
    </w:p>
    <w:p>
      <w:r>
        <w:t>- 6/9 - P/13715/2021 les proches d'une personne victime de lésions corporelles peuvent aussi obtenir réparation du tort moral qu'ils subissent de ce chef si leurs souffrances revêtent un caractère exceptionnel, c'est-à-dire s'ils sont touchés de la même manière ou plus fortement qu'en cas de décès (ATF 139 IV 89 consid. 2.4 ; 125 III 412 consid. 2a ; 117 II 50 consid. 3a ; arrêt du Tribunal fédéral 6B_646/2008 du 23 avril 2009 consid. 7).</w:t>
      </w:r>
    </w:p>
    <w:p>
      <w:r>
        <w:rPr>
          <w:b/>
        </w:rPr>
        <w:t>E. 4.2</w:t>
      </w:r>
    </w:p>
    <w:p>
      <w:r>
        <w:t>En l'espèce, la recourante – proche de la victime au sens des art. 116 al. 2 et 122 al. 2 CPP – affirme que les actes d'ordre sexuel dont sa fille de treize ans aurait été victime induiraient une souffrance psychique particulièrement importante chez elle, ce qui justifierait un suivi psychothérapeutique. S'il est compréhensible que l'impact psychologique de tels actes sur la recourante puisse subsister encore plus d'une année après les faits, celle-ci n'a ni allégué ni démontré que ledit impact revêtait un caractère exceptionnel, assimilable à la souffrance ressentie par un parent en cas de décès de son enfant. En effet, il ressort de l'attestation établie le 30 juin 2022 par le Centre LAVI sur demande de l'avocate de la recourante que cette dernière est "touchée par la situation", "stressée de l'état psychique de sa fille", "pleurait beaucoup durant [les] entretiens", "se sentait dépassée et impuissante face à la souffrance de sa fille", "culpabilisait de ne pas avoir pu prévenir l'agression" et "était également preneuse d'un suivi". Pour ces raisons, le Centre LAVI lui avait "fourni une prise en charge pour 5 séances pour le moment". Or, ces constatations fondées sur les propres déclarations de la recourante, n'émanent ni d'un thérapeute spécialisé ni n'atteignent le degré de gravité exigé par la jurisprudence pour permettre au proche d'une victime d'actes d'ordre sexuel de formuler des conclusions civiles propres à l'égard de l'auteur présumé. Par ailleurs, entre le 7 juillet 2021, date du bon LAVI d'aide immédiate en faveur de la recourante, et l'attestation du Centre LAVI du 30 juin 2022, ledit centre n'a pas augmenté le nombre de séances de psychothérapie prises en charge en faveur de la recourante. Enfin, la recourante n'a produit aucune attestation médicale susceptible d'apprécier le degré de gravité des conséquences sur sa santé psychique des actes dont aurait été victime sa fille. Dès lors, il doit être constaté, à teneur du dossier, que les souffrances de celle-ci ne remplissent pas les conditions jurisprudentielles exposées ci-avant. Par conséquent, c'est à bon droit que le Ministère public a dénié à la recourante la qualité de partie plaignante.</w:t>
      </w:r>
    </w:p>
    <w:p>
      <w:r>
        <w:rPr>
          <w:b/>
        </w:rPr>
        <w:t>E. 5</w:t>
      </w:r>
    </w:p>
    <w:p>
      <w:r>
        <w:t>La recourante reproche au Ministère public de lui avoir refusé le bénéfice de l'assistance judiciaire.</w:t>
      </w:r>
    </w:p>
    <w:p>
      <w:r>
        <w:rPr>
          <w:b/>
        </w:rPr>
        <w:t>E. 5.1</w:t>
      </w:r>
    </w:p>
    <w:p>
      <w:r>
        <w:t>À teneur de l'art. 29 al. 3 Cst., toute personne qui ne dispose pas de ressources suffisantes a droit, à moins que sa cause paraisse dépourvue de toute chance de</w:t>
      </w:r>
    </w:p>
    <w:p>
      <w:r>
        <w:t>- 7/9 - P/13715/2021 succès, à l'assistance gratuite d'un défenseur, dans la mesure où la sauvegarde de ses droits le requiert. L'art. 136 CPP reprend ces conditions et les concrétise à l'égard de la partie plaignante dans un procès pénal (arrêt du Tribunal fédéral 1B_23/2020 du 17 mars 2020 consid. 2.1). Selon l'al. 1 de cette disposition,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l'assistance judiciaire comprend l'exonération d'avances de frais et de sûretés (let. a), l'exonération des frais de procédure (let. b) et la désignation d'un conseil juridique gratuit, lorsque la défense des intérêts de la partie plaignante l'exige (let. c).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 et références citées).</w:t>
      </w:r>
    </w:p>
    <w:p>
      <w:r>
        <w:rPr>
          <w:b/>
        </w:rPr>
        <w:t>E. 5.2</w:t>
      </w:r>
    </w:p>
    <w:p>
      <w:r>
        <w:t>En l'espèce, les prétentions civiles de la recourante sont d'emblée vouées à l'échec, pour les raisons exposées au considérant 4.2 ci-avant. Partant, la demande d'assistance judiciaire gratuite, comprenant la nomination d'un conseil d'office en la personne de Me B______, doit être rejetée.</w:t>
      </w:r>
    </w:p>
    <w:p>
      <w:r>
        <w:rPr>
          <w:b/>
        </w:rPr>
        <w:t>E. 6</w:t>
      </w:r>
    </w:p>
    <w:p>
      <w:r>
        <w:t>Justifiées, les ordonnances querellées seront donc confirmées.</w:t>
      </w:r>
    </w:p>
    <w:p>
      <w:r>
        <w:rPr>
          <w:b/>
        </w:rPr>
        <w:t>E. 7</w:t>
      </w:r>
    </w:p>
    <w:p>
      <w:r>
        <w:t>La recourante, qui succombe, supportera les frais envers l'État, fixés en totalité à CHF 500.- (art. 428 al. 1 CPP et 13 al. 1 du Règlement fixant le tarif des frais en matière pénale, RTFMP ; E 4 10.03), hors frais liés à la procédure de recours concernant le refus de l'assistance judiciaire, qui est gratuite (art. 20 RAJ ; arrêt du Tribunal fédéral 6B_215/2018 du 14 juin 2018 consid.1.2). * * * * *</w:t>
      </w:r>
    </w:p>
    <w:p>
      <w:r>
        <w:t>- 8/9 - P/13715/2021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