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ACPR/598/2023 vom 8. Februar 2023</w:t>
      </w:r>
    </w:p>
    <w:p>
      <w:r>
        <w:t>GE Cour de justice, 2023-02-08, FR</w:t>
      </w:r>
    </w:p>
    <w:p>
      <w:r>
        <w:rPr>
          <w:b/>
        </w:rPr>
        <w:t xml:space="preserve">Quelle: </w:t>
      </w:r>
      <w:r>
        <w:t>https://mcp.opencaselaw.ch/entscheid/ge_gerichte_ACPR_598_2023</w:t>
      </w:r>
    </w:p>
    <w:p>
      <w:r>
        <w:t>FR: GE_GERICHTE ACPR/598/2023 du 8 février 2023</w:t>
      </w:r>
    </w:p>
    <w:p>
      <w:r>
        <w:t>IT: GE_GERICHTE ACPR/598/2023 del 8 febbraio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partie à la procédure (art. 104 al. 1 let. b CPP), qui dispose d'un intérêt juridiquement protégé à recourir contre l'ordonnance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w:t>
      </w:r>
    </w:p>
    <w:p>
      <w:r>
        <w:rPr>
          <w:b/>
        </w:rPr>
        <w:t>E. 3</w:t>
      </w:r>
    </w:p>
    <w:p>
      <w:r>
        <w:t>Le recourant reproche au Ministère public de ne pas avoir retenu l'existence d'un abus de confiance et/ou d'une escroquerie.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w:t>
      </w:r>
    </w:p>
    <w:p>
      <w:r>
        <w:t>- 4/7 - P/2849/2023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3.2</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w:t>
      </w:r>
    </w:p>
    <w:p>
      <w:r>
        <w:rPr>
          <w:b/>
        </w:rPr>
        <w:t>E. 3.3</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il ne suffit pas qu’il y ait tromperie, il faut encore que celle-ci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en revanche pas réalisée si la dupe pouvait se protéger avec un minimum d’attention ou éviter l’erreur avec le minimum de prudence que l’on pouvait attendre d’elle (ATF 135 IV 76 consid. 5.2).</w:t>
      </w:r>
    </w:p>
    <w:p>
      <w:r>
        <w:rPr>
          <w:b/>
        </w:rPr>
        <w:t>E. 3.4</w:t>
      </w:r>
    </w:p>
    <w:p>
      <w:r>
        <w:t>En l'espèce, le recourant n'a pas confié de valeurs aux associés de la société mise en cause. Il reproche à celle-ci, ou à ses animateurs, de ne pas lui avoir versé la commission due à teneur du contrat conclu avec elle pour son activité de courtier en immobilier. Les éléments de l'abus de confiance ne sont donc pas réunis. L'infraction d'escroquerie n'est pas davantage réalisée. En effet, on ne décèle aucune astuce de la part des associés de la mise en cause, qui n'ont pas eu recours à un</w:t>
      </w:r>
    </w:p>
    <w:p>
      <w:r>
        <w:t>- 5/7 - P/2849/2023 édifice de mensonges, à des manœuvres frauduleuses ou à une mise en scène pour amener le recourant à conclure le contrat de courtage immobilier. Qu'ils ne l'aient ensuite pas rémunéré pour l'entier des prestations qu'il a fournies, soit l'apport de clients, relève d'un litige civil et nullement d'une infraction pénale. Le recours est dès lors infondé.</w:t>
      </w:r>
    </w:p>
    <w:p>
      <w:r>
        <w:rPr>
          <w:b/>
        </w:rPr>
        <w:t>E. 4</w:t>
      </w:r>
    </w:p>
    <w:p>
      <w:r>
        <w:t>Le recourant requiert le bénéfice de l'assistance juridique gratuite.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4.2</w:t>
      </w:r>
    </w:p>
    <w:p>
      <w:r>
        <w:t>En l'espèce, faute d'infraction pénale, le recours était d'emblée dépourvu de chances de succès, de sorte que le recourant ne remplit pas les conditions de l'art. 136 al. 1 CPP. La requête d'assistance judiciaire ne peut donc qu'être rejetée.</w:t>
      </w:r>
    </w:p>
    <w:p>
      <w:r>
        <w:rPr>
          <w:b/>
        </w:rPr>
        <w:t>E. 5</w:t>
      </w:r>
    </w:p>
    <w:p>
      <w:r>
        <w:t>Le recourant, qui succombe, supportera dès lors les frais envers l'État, qui seront fixés, pour tenir compte de sa situation financière, à CHF 500.- en totalité (art. 428 al. 1 CPP et 13 al. 1 du Règlement fixant le tarif des frais en matière pénale, RTFMP ; E 4 10.03). Le refus de l'assistance judiciaire sera, quant à lui, rendu sans frais (art. 20 RAJ ; arrêt du Tribunal fédéral 6B_215/2018 du 14 juin 2018 consid. 1.2). * * * * *</w:t>
      </w:r>
    </w:p>
    <w:p>
      <w:r>
        <w:t>- 6/7 - P/2849/2023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