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ACPR/597/2020 vom 19. Juni 2020</w:t>
      </w:r>
    </w:p>
    <w:p>
      <w:r>
        <w:t>GE Cour de justice, 2020-06-19, FR</w:t>
      </w:r>
    </w:p>
    <w:p>
      <w:r>
        <w:rPr>
          <w:b/>
        </w:rPr>
        <w:t xml:space="preserve">Quelle: </w:t>
      </w:r>
      <w:r>
        <w:t>https://mcp.opencaselaw.ch/entscheid/ge_gerichte_ACPR_597_2020</w:t>
      </w:r>
    </w:p>
    <w:p>
      <w:r>
        <w:t>FR: GE_GERICHTE ACPR/597/2020 du 19 juin 2020</w:t>
      </w:r>
    </w:p>
    <w:p>
      <w:r>
        <w:t>IT: GE_GERICHTE ACPR/597/2020 del 19 giugno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plaignants qui, parties à la procédure (art. 104 al. 1 let. b CPP), ont qualité pour agir,</w:t>
      </w:r>
    </w:p>
    <w:p>
      <w:r>
        <w:t>- 3/6 - P/9895/2020 ayant un intérêt juridiquement protégé à la modification ou à l'annulation de la décision querellée (art. 382 al. 1 CPP).</w:t>
      </w:r>
    </w:p>
    <w:p>
      <w:r>
        <w:rPr>
          <w:b/>
        </w:rPr>
        <w:t>E. 2</w:t>
      </w:r>
    </w:p>
    <w:p>
      <w:r>
        <w:t>L'autorité de recours possède un plein pouvoir d'examen en fait et en droit et n'est pas liée par les motifs invoqués par les parties (art. 391 al. 1 let. a CPP) ni par la motivation de l'autorité précédente dont elle a à connaître des décisions, le seul principe applicable en la matière étant celui de la vérité matérielle objective et de la légalité (art. 7 CPP), ainsi que la maxime d'instruction et l'adage "jura novit curia" (art. 6 CPP; ACPR/831/2017 du 6 décembre 2017; Y. JEANNERET / A. KUHN / C. PERRIER DEPEURSINGE (éds), Commentaire romand : Code de procédure pénale suisse, 2ème éd., Bâle 2019, n. 56 s.; L. MOREILLON / A. PAREIN- REYMOND, CPP, Code de procédure pénale, Bâle 2016, n. 1-2 ad art. 391). On a ainsi pu écrire que le pouvoir d'examen de l'autorité de recours est "presque discrétionnaire" (Y. JEANNERET / A. KUHN / C. PERRIER DEPEURSINGE (éds), op. cit., n. 2 ad art. 391).</w:t>
      </w:r>
    </w:p>
    <w:p>
      <w:r>
        <w:rPr>
          <w:b/>
        </w:rPr>
        <w:t>E. 3</w:t>
      </w:r>
    </w:p>
    <w:p>
      <w:r>
        <w:t>Les recourants reprochent au Ministère public de ne pas être entré en matière sur leur plainte du 8 juin 2020.</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Une ordonnance de non- entrée en matière doit également être rendue lorsqu'il existe des empêchements de procéder (art. 310 al. 1 let. b CPP), par exemple lorsque l'action publique est prescrite (L. MOREILLON / A. PAREIN-REYMOND, op.cit, n. 13 ad art. 310) ou que le délai pour déposer plainte prévu par l'art. 31 CP n'a pas été respecté (arrêt du Tribunal fédéral 6B_848/2018 du 4 décembre 2018 consid. 1.5).</w:t>
      </w:r>
    </w:p>
    <w:p>
      <w:r>
        <w:rPr>
          <w:b/>
        </w:rPr>
        <w:t>E. 3.2</w:t>
      </w:r>
    </w:p>
    <w:p>
      <w:r>
        <w:t>Les infractions réprimées par l'art. 23 LCD sont punissables sur plainte préalable. La partie générale du CP est applicable (art. 331 al. 1 CP).</w:t>
      </w:r>
    </w:p>
    <w:p>
      <w:r>
        <w:rPr>
          <w:b/>
        </w:rPr>
        <w:t>E. 3.3</w:t>
      </w:r>
    </w:p>
    <w:p>
      <w:r>
        <w:t>Conformément à l'art. 31 CP, le droit de porter plainte se prescrit par trois mois. Le délai court du jour où l'ayant droit a connu l'auteur de l'infraction et – l'art. 31 CP ne le précise pas, mais cela va de soi – de l'acte délictueux, c'est-à-dire des éléments constitutifs objectifs, mais également subjectifs de l'infraction (arrêts du Tribunal fédéral 6B_451/2009 du 23 octobre 2009 consid. 1.2 et 6B_396/2008 du 25 août 2008 consid. 3.3.3). Cette connaissance doit être suffisante pour que l'ayant droit puisse considérer que des poursuites auraient de fortes chances de succès et ne l'exposeraient pas au risque d'être lui-même poursuivi pour dénonciation calomnieuse ou diffamation (ATF 126 IV 131 consid. 2; 121 IV 272 consid. 2a); de simples soupçons ne suffisent pas, mais il n'est pas nécessaire que l'ayant droit dispose déjà de moyens de preuve (ATF 121 IV 272 consid. 2a; ATF 101 IV 113</w:t>
      </w:r>
    </w:p>
    <w:p>
      <w:r>
        <w:t>- 4/6 - P/9895/2020 consid. 1b et les arrêts cités; arrêt du Tribunal fédéral 6S.33/2007 du 20 avril 2007 consid. 5).</w:t>
      </w:r>
    </w:p>
    <w:p>
      <w:r>
        <w:rPr>
          <w:b/>
        </w:rPr>
        <w:t>E. 3.4</w:t>
      </w:r>
    </w:p>
    <w:p>
      <w:r>
        <w:t>En l'espèce, les actes que les recourants prétendent constitutifs d'infractions à la LCD ont été achevés au plus tard en juillet 2019, lorsqu'ils ont reçu les derniers documents de C_____ AG. Dès lors, leur plainte pénale du 8 juin 2020 s'avère tardive, et le Ministère public n'avait pas à entrer en matière. Dans son résultat, la décision querellée apparaît donc conforme au droit. Le recours doit être rejeté.</w:t>
      </w:r>
    </w:p>
    <w:p>
      <w:r>
        <w:rPr>
          <w:b/>
        </w:rPr>
        <w:t>E. 4</w:t>
      </w:r>
    </w:p>
    <w:p>
      <w:r>
        <w:t>La Chambre pénale de recours pouvait par conséquent décider d'emblée de le traiter sans échange d'écritures ni débats (art. 390 al. 2 et 5 a contrario CPP).</w:t>
      </w:r>
    </w:p>
    <w:p>
      <w:r>
        <w:rPr>
          <w:b/>
        </w:rPr>
        <w:t>E. 5</w:t>
      </w:r>
    </w:p>
    <w:p>
      <w:r>
        <w:t>Les recourants, qui succombent, supporteront, solidairement (art. 418 al. 2 CPP), les frais envers l'État, fixés en totalité à CHF 1'000.- (art. 428 al. 1 CPP et 13 al. 1 du Règlement fixant le tarif des frais en matière pénale, RTFMP; E 4 10.03). * * * * *</w:t>
      </w:r>
    </w:p>
    <w:p>
      <w:r>
        <w:t>- 5/6 - P/9895/2020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