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ACPR/596/2023 vom 7. Juni 2023</w:t>
      </w:r>
    </w:p>
    <w:p>
      <w:r>
        <w:t>GE Cour de justice, 2023-06-07, FR</w:t>
      </w:r>
    </w:p>
    <w:p>
      <w:r>
        <w:rPr>
          <w:b/>
        </w:rPr>
        <w:t xml:space="preserve">Quelle: </w:t>
      </w:r>
      <w:r>
        <w:t>https://mcp.opencaselaw.ch/entscheid/ge_gerichte_ACPR_596_2023</w:t>
      </w:r>
    </w:p>
    <w:p>
      <w:r>
        <w:t>FR: GE_GERICHTE ACPR/596/2023 du 7 juin 2023</w:t>
      </w:r>
    </w:p>
    <w:p>
      <w:r>
        <w:t>IT: GE_GERICHTE ACPR/596/2023 del 7 giugno 2023</w:t>
      </w:r>
    </w:p>
    <w:p>
      <w:pPr>
        <w:pStyle w:val="Heading2"/>
      </w:pPr>
      <w:r>
        <w:t>Erwägungen</w:t>
      </w:r>
    </w:p>
    <w:p>
      <w:r>
        <w:rPr>
          <w:b/>
        </w:rPr>
        <w:t>E. 1</w:t>
      </w:r>
    </w:p>
    <w:p>
      <w:r>
        <w:t>Le recours est recevable pour avoir été déposé selon la forme et dans le délai prescrits (art. 90 al. 2, 385 al. 1 et 396 al. 1 CPP) – les formalités de notification (art. 85 al. 2 CPP) n'ayant pas été observées –,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2.1</w:t>
      </w:r>
    </w:p>
    <w:p>
      <w:r>
        <w:t>À teneur de l'art. 132 al. 1 let. b CPP,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w:t>
      </w:r>
    </w:p>
    <w:p>
      <w:r>
        <w:t>- 4/6 - P/10865/2023 profession ou s'il risque de perdre la garde de ses enfants (arrêts du Tribunal fédéral 1B_12/2020 du 24 janvier 2020 consid. 3.1 ; 1B_374/2018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arrêt du Tribunal fédéral 1B_360/2020 du</w:t>
      </w:r>
    </w:p>
    <w:p>
      <w:r>
        <w:rPr>
          <w:b/>
        </w:rPr>
        <w:t>E. 2.2</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peine-menace prévue par la loi (ATF 143 I 164 consid. 2.4.3 et 3; L. MOREILLON / A. PAREIN-REYMOND, Petit Commentaire du CPP, 2e éd., 2016, n. 30 ad art. 132). La nécessité de l'intervention d'un conseil juridique doit ainsi reposer sur des éléments objectifs, tenant principalement à la nature de la cause, et sur des éléments subjectifs, fondés sur l'aptitude concrète du requérant à mener seul la procédure.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2.3</w:t>
      </w:r>
    </w:p>
    <w:p>
      <w:r>
        <w:t>En l'espèce, contrairement à ce que soutient la recourante, son indigence n'a pas été établie, dès lors que le Ministère public a laissé la question ouverte. Toutefois, au vu de ce qui suit, la Chambre de Céans peut, également, se dispenser d'examiner si cette condition est réalisée, la deuxième, cumulative, prévue par l'art. 132 al. 2 CPP, ne l'étant pas. En effet, la recourante n'est passible que d'une amende et d'une peine pécuniaire de 40 jours-amende - sous déduction d'un jour de détention avant jugement -, ce qui est bien inférieur au seuil prévu par l'art. 132 al. 2 CPP, de sorte que la cause est de peu de gravité.</w:t>
      </w:r>
    </w:p>
    <w:p>
      <w:r>
        <w:t>- 5/6 - P/10865/2023 En outre, l'examen des circonstances du cas d'espèce permet de retenir que la cause ne présente pas de difficultés particulières, du point de vue de l'établissement des faits ou des questions juridiques soulevées, que la recourante ne serait pas en mesure de résoudre seule. Les faits et dispositions applicables sont clairement circonscrits et ne présentent aucune difficulté de compréhension ou d'application. La recourante s'est déjà exprimée à leur égard, reconnaissant partiellement les faits. Elle a ainsi parfaitement compris ce qui lui était reproché et a donné des explications précises. Au surplus, c'est à tort que la recourante se plaint d'une exclusion systématique du droit à une défense d'office dans les cas dont la peine encourue est inférieure à une peine privative de liberté de 4 mois ou d'une peine pécuniaire de 120 jours-amende, dès lors que l'adverbe "notamment" permet de tenir compte d'autres motifs que ceux énoncés à l'art. 132 al. 2 CPP, indépendamment de la gravité de l'affaire, situation qui n'est pas réalisée ici. 3. Le recours doit ainsi être rejeté, ce que la Chambre de céans pouvait décider sans échange d'écritures ni débats (art. 390 al. 2 a contrario CPP).</w:t>
      </w:r>
    </w:p>
    <w:p>
      <w:r>
        <w:rPr>
          <w:b/>
        </w:rPr>
        <w:t>E. 4</w:t>
      </w:r>
    </w:p>
    <w:p>
      <w:r>
        <w:t>La procédure de recours contre le refus de l'octroi de l'assistance juridique ne donne pas lieu à la perception de frais (art. 20 RAJ). * * * * *</w:t>
      </w:r>
    </w:p>
    <w:p>
      <w:r>
        <w:t>- 6/6 - P/10865/2023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