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ACPR/594/2025 vom 1. Juli 2025</w:t>
      </w:r>
    </w:p>
    <w:p>
      <w:r>
        <w:t>GE Cour de justice, 2025-07-01, FR</w:t>
      </w:r>
    </w:p>
    <w:p>
      <w:r>
        <w:rPr>
          <w:b/>
        </w:rPr>
        <w:t xml:space="preserve">Quelle: </w:t>
      </w:r>
      <w:r>
        <w:t>https://mcp.opencaselaw.ch/entscheid/ge_gerichte_ACPR_594_2025</w:t>
      </w:r>
    </w:p>
    <w:p>
      <w:r>
        <w:t>FR: GE_GERICHTE ACPR/594/2025 du 1 juillet 2025</w:t>
      </w:r>
    </w:p>
    <w:p>
      <w:r>
        <w:t>IT: GE_GERICHTE ACPR/594/2025 del 1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et graves, au sens de l'art. 221 al. 1 CPP, de sorte qu'il peut être renvoyé, en tant que de besoin, à la motivation adoptée par le premier juge (art 82 al. 4 CPP; ACPR/747/2020 du</w:t>
      </w:r>
    </w:p>
    <w:p>
      <w:r>
        <w:t>- 11/18 - P/18456/2023 22 octobre 2020 consid. 2 et les références), qui expose les indices graves et concordants pesant sur le prévenu.</w:t>
      </w:r>
    </w:p>
    <w:p>
      <w:r>
        <w:rPr>
          <w:b/>
        </w:rPr>
        <w:t>E. 3</w:t>
      </w:r>
    </w:p>
    <w:p>
      <w:r>
        <w:t>Le recourant conteste le risque de collusion.</w:t>
      </w:r>
    </w:p>
    <w:p>
      <w:r>
        <w:rPr>
          <w:b/>
        </w:rPr>
        <w:t>E. 3.1</w:t>
      </w:r>
    </w:p>
    <w:p>
      <w:r>
        <w:t>Conformément à l'art. 221 al. 1 let. b CPP, la détention provisoire, cas échéant remplacée par des mesures de substitutions au sens de l'art. 237 CPP,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recourant fonde son recours essentiellement sur le fait que les confrontations ont déjà eu lieu et que les faits reprochés étaient objectivés par des messages versés à la procédure. Or, ces deux éléments ne sont pas nouveaux et ont été pris en compte dans les précédents ordonnance ou arrêt entrés en force. Le recourant ne démontre pas qu'il existerait à ce propos des éléments nouveaux qui amoindriraient sous cet angle le risque de collusion. Il en va de même des conclusions tirées des craintes de son épouse. Quant au fait qu'il n'a pas pris contact avec les parties plaignantes depuis son placement à C______, l'argument tombe à faux puisque cette absence de contact a précisément eu lieu alors que le recourant était sous mesure de substitution, notamment une interdiction de contact avec son épouse, sa fille et sa voisine, et qu'il se trouvait au surplus dans un environnement protégé. Le recourant oublie à ce propos qu'une interdiction de contact prononcée par le juge civil ne l'avait pas empêché de retourner au domicile de son épouse. Il découle de ce qui précède que le risque de collusion perdure, et ce jusqu'à l'audience de jugement.</w:t>
      </w:r>
    </w:p>
    <w:p>
      <w:r>
        <w:rPr>
          <w:b/>
        </w:rPr>
        <w:t>E. 4</w:t>
      </w:r>
    </w:p>
    <w:p>
      <w:r>
        <w:t>Le recourant conteste le risque de réitération ou de passage à l'acte.</w:t>
      </w:r>
    </w:p>
    <w:p>
      <w:r>
        <w:rPr>
          <w:b/>
        </w:rPr>
        <w:t>E. 4.1</w:t>
      </w:r>
    </w:p>
    <w:p>
      <w:r>
        <w:t>L'art. 221 al. 1 let. c CPP, relatif au risque de récidive, dans sa nouvelle teneur au 1er janvier 2024 (RO 2023 468), présuppose désormais que l'auteur compromette</w:t>
      </w:r>
    </w:p>
    <w:p>
      <w:r>
        <w:t>- 12/18 - P/18456/2023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«Adaptation du code de procédure pénale» –, FF 2019 6351, p. 6395).</w:t>
      </w:r>
    </w:p>
    <w:p>
      <w:r>
        <w:t>- 13/18 - P/18456/2023</w:t>
      </w:r>
    </w:p>
    <w:p>
      <w:r>
        <w:rPr>
          <w:b/>
        </w:rPr>
        <w:t>E. 4.3</w:t>
      </w:r>
    </w:p>
    <w:p>
      <w:r>
        <w:t>La détention peut enfin être ordonnée lorsqu'il y a sérieusement lieu de craindre qu'une personne passe à l'acte après avoir menacé de commettre un crime grave (art. 221 al. 2 CPP). Il n'est pas nécessaire que la personne concernée ait pris des mesures concrètes : il suffit que, sur la base d'une appréciation d'ensemble des relations personnelles ainsi que des circonstances de l'espèce, et de sa situation personnelle, la probabilité de passage à l'acte soit considérée comme très élevée (ATF 125 I 361 consid. 5). Il faut des indices fondant un pronostic très défavorable de récidive ("Rückfallprognose"), tel que peut le révéler l'état psychique du suspect, respectivement son imprévisibilité, ou son agressivité (ATF 137 IV 122 consid. 5.2; 140 IV 19 consid. 2.1.1 = JdT 2015 IV 32). Le risque que le prévenu réitère ses menaces (art. 180 CP) ne suffit pas, dès lors que les infractions correspondantes sont des délits et non des crimes (ATF 137 précité consid. 5.3). En revanche, des menaces de mort, dans un contexte très conflictuel de garde d'enfant, ont pu laisser craindre un passage à l'acte homicide et, en conséquence, justifier un placement en détention de celui qui, tout en étant animé de pulsions suicidaires, les avait proférées contre la mère de l'enfant et ses beaux-parents (ATF 125 I 361 consid. 5 in fine; ACPR/267/2015 du 8 mai 2015 consid. 4.4).</w:t>
      </w:r>
    </w:p>
    <w:p>
      <w:r>
        <w:rPr>
          <w:b/>
        </w:rPr>
        <w:t>E. 4.4</w:t>
      </w:r>
    </w:p>
    <w:p>
      <w:r>
        <w:t>En l'espèce, le TMC a retenu tant le risque de réitération (art. 221 al. 1 let. c et al. 1bis CPP) que le risque de passage à l'acte (art. 221 al. 2 CPP). Certes, le recourant n'a pas d'antécédents. D'autre part, si le prévenu ne se voit pas reprocher de passages à l'acte en matière de violence physique, il est renvoyé en jugement pour des violences psychiques et verbales, soit notamment des menaces de mort. Il s'agit là d'infractions graves, comme déjà relevé par la Chambre de céans le 17 avril 2025, qui concerne un bien juridique important, soit la liberté d'autrui. Le risque présenté doit par ailleurs être examiné également au regard de l'état psychique du suspect, respectivement son imprévisibilité, ou son agressivité. Or cet état a en l'espèce amené les experts à considérer que le risque de réitération était moyen à élevé. Que les experts ne se soient pas prononcés, comme l'allègue le recourant, sur le risque de passage à l'acte, n'est pas déterminant. Les troubles décrits, y compris cognitifs, et la position procédurale adoptée par le recourant face aux accusations portées contre lui suffisent à fonder un risque de réitération. Le fait qu'il n'ait pas fait preuve d'agressivité lors de ses sorties accompagnées n'amoindrit pas cette conclusion, étant relevé que le recourant était alors précisément accompagné, conformément aux mesures de substitution ordonnées.</w:t>
      </w:r>
    </w:p>
    <w:p>
      <w:r>
        <w:rPr>
          <w:b/>
        </w:rPr>
        <w:t>E. 5</w:t>
      </w:r>
    </w:p>
    <w:p>
      <w:r>
        <w:t>Le recourant conclut subsidiairement à sa mise en liberté sous diverses mesures de substitution qu'il énumère.</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l'obligation de se présenter</w:t>
      </w:r>
    </w:p>
    <w:p>
      <w:r>
        <w:t>- 14/18 - P/18456/2023 régulièrement à un service administratif (al. 2 let. d), de se soumettre à un traitement médical ou à des contrôles (al. 2 let. f) et l'interdiction d'entretenir des relations avec certaines personnes (al. 2 let. g). La liste des mesures de substitution énoncée à l'art. 237 CPP n'est pas exhaustive (arrêt du Tribunal fédéral 1B_654/2011 du</w:t>
      </w:r>
    </w:p>
    <w:p>
      <w:r>
        <w:rPr>
          <w:b/>
        </w:rPr>
        <w:t>E. 5.2</w:t>
      </w:r>
    </w:p>
    <w:p>
      <w:r>
        <w:t>En l'espèce, les mesures de substitution proposées, qui se substitueraient à celles actuellement en vigueur, en tant qu'elles ne sont pas identiques, ne sont pas aptes à pallier les risques retenus. Le recourant fournit désormais le nom et l'adresse du logement qu'il souhaite intégrer, dont la prise en charge financière est garantie par l'Office de protection de l'adulte. Il ne fournit en revanche aucun détail sur l'encadrement que ce lieu offrirait, notamment quant aux contacts avec l'extérieur et aux activités hors de la résidence. Aucune garantie n'est non plus donnée en l'état sur l'éloignement de cette résidence avec le logement ou le lieu de travail de son épouse. Le suivi ambulatoire proposé au CAPPA ne permet pas, dans l'immédiat, de pallier le risque de réitération, étant relevé notamment que les experts ont estimé à plusieurs mois le temps nécessaire pour qu'un traitement ambulatoire puisse avoir un effet sur ce risque. En tout état, le recourant, placé en milieu hospitalier depuis le 14 mai 2025, dispose d'un tel suivi. Le fait que son hospitalisation ne serait plus médicalement indiquée ne signifie pas qu'elle n'est pas nécessaire du point de vue de la prévention du risque de récidive. L'interdiction d'entrer en contact avec les parties plaignantes, nécessaire à pallier le risque de collusion retenu, est déjà en force. Il en va de même de l'obligation de suivre les règles fixées par le SRSP, ce qui implique d'avoir contact avec ce service au rythme que celui-ci fixera. L'interdiction de consommer de l'alcool a été levée dans l'ordonnance querellée, et ne paraît pas nécessaire au vu de l'encadrement actuellement mis en place. Les nouvelles mesures de substitution proposées apparaissent ainsi, à ce stade, ne pas fournir les garanties suffisantes pour pallier les risques retenus. Les mesures ordonnées dans l'ordonnance querellée seront partant confirmées. 6. Le recourant allègue enfin une violation du principe de la proportionnalité. 6.1.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w:t>
      </w:r>
    </w:p>
    <w:p>
      <w:r>
        <w:t>- 15/18 - P/18456/2023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 6.2. En l'espèce, le recourant ne saurait se prévaloir de peines prononcées dans des situations similaires, toute comparaison dans ce domaine étant délicate, et l'éventuel sursis ne lui est non plus d'aucun secours. Le raisonnement de la Chambre de céans dans son arrêt du 17 avril 2025 est toujours valable, étant relevé que, depuis lors, l'instruction est terminée et le Tribunal de police saisi d'un acte d'accusation. Le recourant semble par ailleurs oublier qu'il se trouve en liberté depuis le 14 mai 2025, le fait d'être hospitalisé, en section ouverte, ne pouvant comme il l'affirme être assimilé à une détention. La durée des mesures de substitution doit dès lors être appréciée en proportion. Comme déjà relevé par la Chambre de céans, l'avancement du dossier, dans son ensemble, n'a pas connu de temps mort, de sorte qu'il ne peut être retenu que le Ministère public aurait tardé dans son instruction. Enfin, le fait que la "détention" aurait eu des effets délétères sur la santé du recourant avait précisément amené à son placement en milieu hospitalier sur mesures de substitution. Pour les raisons exposées plus haut, les conséquences de son actuel hospitalisation ne sauraient justifier la levée de cette mesure sans autre solution concrète et adéquate. En l'état, la durée de la détention subie puis des mesures de substitution mises en place ne viole pas le principe de la proportionnalité, si les actes reprochés devaient être considérés comme établis.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w:t>
      </w:r>
    </w:p>
    <w:p>
      <w:r>
        <w:t>- 16/18 - P/18456/2023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r>
        <w:t>- 17/18 - P/18456/2023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