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ACPR/594/2022 vom 21. März 2022</w:t>
      </w:r>
    </w:p>
    <w:p>
      <w:r>
        <w:t>GE Cour de justice, 2022-03-21, FR</w:t>
      </w:r>
    </w:p>
    <w:p>
      <w:r>
        <w:rPr>
          <w:b/>
        </w:rPr>
        <w:t xml:space="preserve">Quelle: </w:t>
      </w:r>
      <w:r>
        <w:t>https://mcp.opencaselaw.ch/entscheid/ge_gerichte_ACPR_594_2022</w:t>
      </w:r>
    </w:p>
    <w:p>
      <w:r>
        <w:t>FR: GE_GERICHTE ACPR/594/2022 du 21 mars 2022</w:t>
      </w:r>
    </w:p>
    <w:p>
      <w:r>
        <w:t>IT: GE_GERICHTE ACPR/594/2022 del 21 marzo 2022</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Reste à examiner si les recourants disposent d'un intérêt juridique protégé à recourir selon l'art. 382 al. 1 CPP.</w:t>
      </w:r>
    </w:p>
    <w:p>
      <w:r>
        <w:rPr>
          <w:b/>
        </w:rPr>
        <w:t>E. 1.2</w:t>
      </w:r>
    </w:p>
    <w:p>
      <w:r>
        <w:t>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ce qui exclut les personnes subissant un préjudice indirect ou par ricochet, tel le proche ou le créancier (ATF 92 IV 1 consid. 1 p. 2; arrêt du Tribunal fédéral</w:t>
      </w:r>
    </w:p>
    <w:p>
      <w:r>
        <w:t>- 7/10 - P/7032/2017 1B_9/2015 du 23 juin 2015 consid. 2.3.1 et les références doctrinales citées; G. PIQUEREZ, Traité de procédure pénale suisse, 2006, p. 656 n. 1027).</w:t>
      </w:r>
    </w:p>
    <w:p>
      <w:r>
        <w:rPr>
          <w:b/>
        </w:rPr>
        <w:t>E. 1.3</w:t>
      </w:r>
    </w:p>
    <w:p>
      <w:r>
        <w:t>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 Si la société tombe en faillite, elle conserve la qualité de lésée jusqu'au moment de sa radiation du registre du commerce, soit également pendant la liquidation. L'administration de la faillite peut agir au nom du failli et faire valoir tous les droits qui lui reviennent (Y. JEANNERET / A. KUHN / C. PERRIER DEPEURSINGE (éds), Commentaire romand : Code de procédure pénale suisse, 2e éd., Bâle 2019, n. 23 ad art. 115). En droit suisse, une société radiée du registre du commerce a cessé d'exister juridiquement et sa raison sociale est éteinte (art. 746 CO; ATF 132 III 731 consid. 3.1 p. 733 et la jurisprudence citée).</w:t>
      </w:r>
    </w:p>
    <w:p>
      <w:r>
        <w:rPr>
          <w:b/>
        </w:rPr>
        <w:t>E. 1.4</w:t>
      </w:r>
    </w:p>
    <w:p>
      <w:r>
        <w:t>En l'espèce, la plainte des recourants dénonçait un abus de confiance et une gestion déloyale, soit des infractions protégeant le patrimoine, en lien avec des transferts touchant exclusivement les avoirs de E______ SA. Cette société est aujourd'hui radiée du Registre du commerce, si bien qu'elle n'a plus d'existence propre. Nonobstant cela, les recourants, en leur qualité d'anciens actionnaires, n'ont donc pas été touchés directement par les agissements – dont le caractère pénal ou non peut rester indécis – du prévenu. L'éventuel lien contractuel, sous la forme d'un mandat, qui les liaient à celui-ci n'est pas de nature à modifier ce constat. Les infractions dans la faillite (art. 163 et 164 CP) ne leur permettent pas non plus de s'estimer lésés. Celles-ci n'ont jamais été considérées au cours de la procédure, étant rappelé que l'instruction ouverte le 3 avril 2017 portait uniquement sur les infractions d'abus de confiance et de gestion déloyale, et les recourants n'ont par ailleurs jamais allégué, ni, a fortiori, démontré leur statut de créanciers à l'égard de la société. Par ailleurs, A______, qui a occupé la fonction d'administrateur, ne prétend aucunement dans son recours agir au nom de la société, mais bien en son nom propre. S'il est vrai qu'une société radiée peut faire l'objet d'une réinscription au registre suisse du commerce lorsqu'elle est partie à une procédure judiciaire (art. 935 al. 2 ch. 2 CO), il apparaît en l'état que le précité agit en tant qu'acteur individuel</w:t>
      </w:r>
    </w:p>
    <w:p>
      <w:r>
        <w:t>- 8/10 - P/7032/2017 défendant ses propres intérêts. Cela est d'autant plus vrai que la qualité de partie plaignante des recourants a déjà été remise en cause par le Ministère public – qui n'a toutefois pas été au bout de sa démarche – sans que cela ne pousse les intéressés à démontrer, au cours de l'instruction ou dans leur recours, qu'ils cherchaient à sauvegarder les intérêts de la société radiée et non pas les leurs. En particulier, ils n'ont pas entrepris de démarches pour faire réinscrire E______ SA, alors que, comme expliqué ci-dessus, seule cette entité pouvait prétendre au statut de lésée par les agissements dénoncés.</w:t>
      </w:r>
    </w:p>
    <w:p>
      <w:r>
        <w:rPr>
          <w:b/>
        </w:rPr>
        <w:t>E. 2</w:t>
      </w:r>
    </w:p>
    <w:p>
      <w:r>
        <w:t>Il résulte de ce qui précède que les recourants ne disposent d'aucun intérêt juridique protégé pour recourir contre le classement de la procédure. Leur recours est, partant, irrecevable.</w:t>
      </w:r>
    </w:p>
    <w:p>
      <w:r>
        <w:rPr>
          <w:b/>
        </w:rPr>
        <w:t>E. 3</w:t>
      </w:r>
    </w:p>
    <w:p>
      <w:r>
        <w:t>Par voie de conséquence, tout soupçon contre le prévenu étant effacé par le classement, le séquestre n'a plus lieu d'être et la conclusion visant à son maintien peut être écartée, indépendamment de savoir si les recourants disposaient de la qualité pour agir sur cet aspect.</w:t>
      </w:r>
    </w:p>
    <w:p>
      <w:r>
        <w:rPr>
          <w:b/>
        </w:rPr>
        <w:t>E. 4</w:t>
      </w:r>
    </w:p>
    <w:p>
      <w:r>
        <w:t>Les recourants, qui succombent, supporteront les frais envers l'État, fixés en totalité à 3'000.- (art. 428 al. 1 CPP et 13 al. 1 du Règlement fixant le tarif des frais en matière pénale, RTFMP ; E 4 10.03).</w:t>
      </w:r>
    </w:p>
    <w:p>
      <w:r>
        <w:rPr>
          <w:b/>
        </w:rPr>
        <w:t>E. 5</w:t>
      </w:r>
    </w:p>
    <w:p>
      <w:r>
        <w:t>Le prévenu a normalement droit à une indemnité pour ses dépenses occasionnées par l'exercice raisonnable de ses droits de procédure (art. 429 al. 1 let. a CPP via art. 436 al. 1 CPP). Toutefois, l'activité de son conseil s'est limitée à demander une prolongation du délai pour déposer des observations, lesquelles ne sont jamais parvenues à la Chambre de céans. Il convient dès lors de renoncer à lui allouer une quelconque indemnité. * * * * *</w:t>
      </w:r>
    </w:p>
    <w:p>
      <w:r>
        <w:t>- 9/10 - P/7032/2017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