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ACPR/594/2019 vom 15. Mai 2019</w:t>
      </w:r>
    </w:p>
    <w:p>
      <w:r>
        <w:t>GE Cour de justice, 2019-05-15, FR</w:t>
      </w:r>
    </w:p>
    <w:p>
      <w:r>
        <w:rPr>
          <w:b/>
        </w:rPr>
        <w:t xml:space="preserve">Quelle: </w:t>
      </w:r>
      <w:r>
        <w:t>https://mcp.opencaselaw.ch/entscheid/ge_gerichte_ACPR_594_2019</w:t>
      </w:r>
    </w:p>
    <w:p>
      <w:r>
        <w:t>FR: GE_GERICHTE ACPR/594/2019 du 15 mai 2019</w:t>
      </w:r>
    </w:p>
    <w:p>
      <w:r>
        <w:t>IT: GE_GERICHTE ACPR/594/2019 del 15 maggio 2019</w:t>
      </w:r>
    </w:p>
    <w:p>
      <w:pPr>
        <w:pStyle w:val="Heading2"/>
      </w:pPr>
      <w:r>
        <w:t>Erwägungen</w:t>
      </w:r>
    </w:p>
    <w:p>
      <w:r>
        <w:rPr>
          <w:b/>
        </w:rPr>
        <w:t>E. 1</w:t>
      </w:r>
    </w:p>
    <w:p>
      <w:r>
        <w:t>Le recours est recevable pour avoir été déposé selon la forme prescrite, - la question du délai ne se posant pas, l'ordonnance querellée n'ayant pas été notifiée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P/14884/2016</w:t>
      </w:r>
    </w:p>
    <w:p>
      <w:r>
        <w:rPr>
          <w:b/>
        </w:rPr>
        <w:t>E. 2.1</w:t>
      </w:r>
    </w:p>
    <w:p>
      <w:r>
        <w:t>et 2.2; 6B_378/2016 précité consid. 2.1 et 2.2; 6B_70/2016 du 2 juin 2016 consid. 4.3.4 non publié in ATF 142 IV 315; 6B_750/2014 du 7 août 2015 consid. 1.1.2; 6S.853/2000 du 9 mai 2001 consid. 4c).</w:t>
      </w:r>
    </w:p>
    <w:p>
      <w:r>
        <w:rPr>
          <w:b/>
        </w:rPr>
        <w:t>E. 3</w:t>
      </w:r>
    </w:p>
    <w:p>
      <w:r>
        <w:t>Il n'est pas contesté qu'une des questions à résoudre par le Ministère public dans cette procédure consistera à évaluer si le récipiendaire du commandement de payer dont l'exécution fait l'objet du séquestre contesté est légitimé à se plaindre d'une contrainte.</w:t>
      </w:r>
    </w:p>
    <w:p>
      <w:r>
        <w:rPr>
          <w:b/>
        </w:rPr>
        <w:t>E. 3.1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3.2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w:t>
      </w:r>
    </w:p>
    <w:p>
      <w:r>
        <w:rPr>
          <w:b/>
        </w:rPr>
        <w:t>E. 3.3</w:t>
      </w:r>
    </w:p>
    <w:p>
      <w:r>
        <w:t>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3.4</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précité consid. 2.2; cf. également les faits à la base de l'arrêt du Tribunal fédéral 6S.853/2000 précité). Il en allait de même de la notification d'un commandement de payer de plus de CHF 800'000.-, somme qualifiée d'exorbitante par la Chambre pénale d'appel et de</w:t>
      </w:r>
    </w:p>
    <w:p>
      <w:r>
        <w:t>- 7/10 - P/14884/2016 révision, ceci plus de 13 ans après les faits et sans démarches judiciaires parallèles (arrêt du Tribunal fédéral 6B_153/2017 du 28 novembre 2017 consid. 3.2.2). Également,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encore retenu que faire l'objet d'un commandement de payer de CHF 176'250.- constitue, pour une personne de sensibilité moyenne, une menace d'un dommage sérieux au sens de la jurisprudence précitée (ACPR/468/2018 du 24 août 2018 consid. 3.3.).</w:t>
      </w:r>
    </w:p>
    <w:p>
      <w:r>
        <w:rPr>
          <w:b/>
        </w:rPr>
        <w:t>E. 3.5</w:t>
      </w:r>
    </w:p>
    <w:p>
      <w:r>
        <w:t>En l'espèce, il n'apparaît pas que le plaignant se serait laissé intimider par le commandement de payer litigieux, puisqu'il tente de s'y opposer par les voies judiciaires idoines alors qu'il n'a pas respecté le délai usuel d'opposition et qu'il ne s'est pas acquitté de la somme réclamée, si bien que seule une tentative de contrainte (art. 22 al. 1 cum 181 CP) pourrait in casu entrer en considération. Restera toutefois à examiner par le Procureur si, en application des critères susmentionnés et au vu de la situation personnelle du plaignant au moment de la notification édictale, cette démarche était illicite, soit que le moyen utilisé ou le but poursuivi étaient contraires au droit, soit que le procédé constituait un moyen de pression abusif, question qu'il n'appartient pas à la Chambre de céans de résoudre en l'état.</w:t>
      </w:r>
    </w:p>
    <w:p>
      <w:r>
        <w:rPr>
          <w:b/>
        </w:rPr>
        <w:t>E. 4.1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4.2</w:t>
      </w:r>
    </w:p>
    <w:p>
      <w:r>
        <w:t>Lors de cet examen,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et les arrêts cités).</w:t>
      </w:r>
    </w:p>
    <w:p>
      <w:r>
        <w:t>- 8/10 - P/14884/2016</w:t>
      </w:r>
    </w:p>
    <w:p>
      <w:r>
        <w:rPr>
          <w:b/>
        </w:rPr>
        <w:t>E. 4.3</w:t>
      </w:r>
    </w:p>
    <w:p>
      <w:r>
        <w:t>En l'espèce, malgré le temps écoulé depuis le dépôt de la première plainte, le stade d'avancement de la procédure ne permet pas de se prononcer en faveur du recourant puisqu'il n'a pas encore été entendu et que la possibilité d'une tentative de contrainte demeure, contrairement à ce qu'il avance pour seul argument afin que le séquestre soit levé. Face à cette incertitude, au regard des montants en cause pour une période d'activité incertaine mais qui pourrait, selon une version, ne pas excéder deux ans et demi, il n'apparaît pas exclu, sous l'angle de la vraisemblance, que l'on puisse envisager une poursuite du recourant pour tentative de contrainte, ce qui justifie le prononcé du séquestre querellé. Ainsi, au vu des éléments recueillis et du stade précoce de l'enquête - ce qui permet d'ailleurs d'exclure toute violation du principe de proportionnalité -, le Ministère public pouvait sans violer le droit fédéral, a fortiori faire preuve d'arbitraire, retenir que la seule mesure qui permettait la mise en sûreté de valeurs pouvant être utilisées pour garantir le paiement des frais de procédure, des peines pécuniaires, des amendes et des indemnités, ou encore pouvant être restituées aux lésés, ces dernières étant en lien de connexité avec les infractions reprochées, était de séquestrer les montants que l'Office des poursuites s'apprêtait à distribuer.</w:t>
      </w:r>
    </w:p>
    <w:p>
      <w:r>
        <w:rPr>
          <w:b/>
        </w:rPr>
        <w:t>E. 4.4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- 9/10 - P/14884/2016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