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ACPR/593/2021 vom 19. Mai 2021</w:t>
      </w:r>
    </w:p>
    <w:p>
      <w:r>
        <w:t>GE Cour de justice, 2021-05-19, FR</w:t>
      </w:r>
    </w:p>
    <w:p>
      <w:r>
        <w:rPr>
          <w:b/>
        </w:rPr>
        <w:t xml:space="preserve">Quelle: </w:t>
      </w:r>
      <w:r>
        <w:t>https://mcp.opencaselaw.ch/entscheid/ge_gerichte_ACPR_593_2021</w:t>
      </w:r>
    </w:p>
    <w:p>
      <w:r>
        <w:t>FR: GE_GERICHTE ACPR/593/2021 du 19 mai 2021</w:t>
      </w:r>
    </w:p>
    <w:p>
      <w:r>
        <w:t>IT: GE_GERICHTE ACPR/593/2021 del 19 maggio 2021</w:t>
      </w:r>
    </w:p>
    <w:p>
      <w:pPr>
        <w:pStyle w:val="Heading2"/>
      </w:pPr>
      <w:r>
        <w:t>Erwägungen</w:t>
      </w:r>
    </w:p>
    <w:p>
      <w:r>
        <w:rPr>
          <w:b/>
        </w:rPr>
        <w:t>E. 1.1</w:t>
      </w:r>
    </w:p>
    <w:p>
      <w:r>
        <w:t>Le recours est recevable pour avoir été déposé selon la forme et dans le délai prescrits (art. 385 al. 1 et 396 al. 1 CPP), concerner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devant la Chambre de céans sont recevables (arrêt du Tribunal fédéral 1B_368/2014 du 5 février 2015 consid. 3.2 in fine).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- 7/11 -</w:t>
      </w:r>
    </w:p>
    <w:p>
      <w:r>
        <w:t>P12374/2020</w:t>
      </w:r>
    </w:p>
    <w:p>
      <w:r>
        <w:rPr>
          <w:b/>
        </w:rPr>
        <w:t>E. 3</w:t>
      </w:r>
    </w:p>
    <w:p>
      <w:r>
        <w:t>Le recourant reproche au Ministère public d'avoir commis un déni de justice formel, considérant la motivation de son ordonnance "peu convaincante". Il lui reproche en réalité une violation de son droit d'être entendu.</w:t>
      </w:r>
    </w:p>
    <w:p>
      <w:r>
        <w:rPr>
          <w:b/>
        </w:rPr>
        <w:t>E. 3.1</w:t>
      </w:r>
    </w:p>
    <w:p>
      <w:r>
        <w:t>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w:t>
      </w:r>
    </w:p>
    <w:p>
      <w:r>
        <w:rPr>
          <w:b/>
        </w:rPr>
        <w:t>E. 3.2</w:t>
      </w:r>
    </w:p>
    <w:p>
      <w:r>
        <w:t>En l'espèce, la motivation du Ministère public remplit les exigences légales, dans la mesure où il a exposé les arguments l'ayant mené au classement, après avoir cité les faits pertinents sur lesquels il se fondait. L'argumentation développée par le recourant démontre d'ailleurs qu'il a fort bien compris la motivation de la décision querellée. Ce grief est, partant, infondé.</w:t>
      </w:r>
    </w:p>
    <w:p>
      <w:r>
        <w:rPr>
          <w:b/>
        </w:rPr>
        <w:t>E. 4.1</w:t>
      </w:r>
    </w:p>
    <w:p>
      <w:r>
        <w:t>Le recourant reproche au Ministère public de ne pas avoir retenu l'infraction d'abus de confiance.</w:t>
      </w:r>
    </w:p>
    <w:p>
      <w:r>
        <w:rPr>
          <w:b/>
        </w:rPr>
        <w:t>E. 4.2</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arrêt du Tribunal fédéral 6B_116/2019 du 11 mars 2019 consid. 2.1). Un classement peut se justifier si aucun résultat n'est à escompter de l'administration d'autres preuves (arrêts du Tribunal fédéral 6B_918/2014 du 2 avril 2015 consid. 2.1.2 ; 6B_96/2014 du 30 juin 2014 consid.2.1 ; 1B_535/2012 du 28 novembre 2012 consid. 5.2).</w:t>
      </w:r>
    </w:p>
    <w:p>
      <w:r>
        <w:rPr>
          <w:b/>
        </w:rPr>
        <w:t>E. 4.3</w:t>
      </w:r>
    </w:p>
    <w:p>
      <w:r>
        <w:t>Commet un abus de confiance au sens de l'art. 138 ch. 1 al. 1 CP, celui qui, pour se procurer ou procurer à un tiers un enrichissement illégitime, se sera approprié une chose mobilière appartenant à autrui et qui lui avait été confiée.</w:t>
      </w:r>
    </w:p>
    <w:p>
      <w:r>
        <w:t>- 8/11 -</w:t>
      </w:r>
    </w:p>
    <w:p>
      <w:r>
        <w:t>P12374/2020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L'acte d'appropriation signifie tout d'abord que l'auteur incorpore économiquement la chose ou la valeur de la chose à son propre patrimoine, pour la conserver, la consommer ou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arrêt du Tribunal fédéral 6B_1268/2018 du 15 février 2019 consid. 2.2). D'un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p. 29 s. ; arrêt du Tribunal fédéral 6B_1268/2018 précité consid. 2.2).</w:t>
      </w:r>
    </w:p>
    <w:p>
      <w:r>
        <w:rPr>
          <w:b/>
        </w:rPr>
        <w:t>E. 4.4</w:t>
      </w:r>
    </w:p>
    <w:p>
      <w:r>
        <w:t>En l'espèce, les déclarations des parties s'agissant du but de leur visite chez C______ à G______ [VS] en mai 2017 s'opposent et aucun document relatif à cet entretien ne figure au dossier de C______. La version du recourant selon laquelle il était uniquement question de remettre à sa compagne une procuration, dont il n'a au demeurant pas été en mesure de produire une copie, n'est ainsi pas établie. Au contraire, une facture de frais de transfert établie au nom du recourant a été remise à la mise en cause par la société en mai 2017, ce qui prouve que celle-ci la considérait comme débitrice de certains frais liés au compte stockage du recourant. L'intéressé ne prétend pas ne pas avoir eu connaissance de ce document. Le fait qu'il s'agisse de frais de transfert démontre qu'il était déjà question d'un déplacement d'actifs à cette époque-là.</w:t>
      </w:r>
    </w:p>
    <w:p>
      <w:r>
        <w:t>- 9/11 -</w:t>
      </w:r>
    </w:p>
    <w:p>
      <w:r>
        <w:t>P12374/2020 Le recourant ne prétend par ailleurs pas s'être acquitté de frais de stockage après 2016, même s'il a été contacté en 2018 et en 2019 par la société, celle-ci l'informant des montants dus. L'on doit dès lors admettre que le recourant avait bien la volonté de transférer la possession des lingots et des feuilles d'argent à la mise en cause. Aucun acte d'enquête ne permettrait de déterminer s'il s'agissait d'un transfert à titre fiduciaire, comme il le soutient, ou d'une donation, comme le prétend la mise en cause, question qui relèverait au demeurant de la juridiction civile, comme l'a justement retenu le Ministère public. Il n'est dès lors pas possible de retenir une prévention suffisante d'une infraction d'abus de confiance, quand bien même l'intimée aurait, à suivre le recourant, commis d'autres infractions à son égard par la suite. Les probabilité d'acquittement apparaissant nettement supérieures à celles d'une condamnation, c'est à juste titre que le Ministère public qui a estimé que le litige relevait du droit civil – tant sur le point de la volonté des parties, étant en outre précisé que la donation ne se présume pas (cf. arrêt du Tribunal fédéral 4A_639/2015 du 28 juillet 2016 consid. 5.1), que sur l'existence d'un vice du consentement –, a classé la procédure.</w:t>
      </w:r>
    </w:p>
    <w:p>
      <w:r>
        <w:rPr>
          <w:b/>
        </w:rPr>
        <w:t>E. 5</w:t>
      </w:r>
    </w:p>
    <w:p>
      <w:r>
        <w:t>Infondé, le recours sera rejeté.</w:t>
      </w:r>
    </w:p>
    <w:p>
      <w:r>
        <w:rPr>
          <w:b/>
        </w:rPr>
        <w:t>E. 6</w:t>
      </w:r>
    </w:p>
    <w:p>
      <w:r>
        <w:t>Le recourant, qui succombe, supportera les frais envers l'État, fixés en totalité à CHF 1'500.- (art. 428 al. 1 CPP et 13 al. 1 du Règlement fixant le tarif des frais en matière pénale, RTFMP ; E 4 10.03).</w:t>
      </w:r>
    </w:p>
    <w:p>
      <w:r>
        <w:t>* * * * *</w:t>
      </w:r>
    </w:p>
    <w:p>
      <w:r>
        <w:t>- 10/11 -</w:t>
      </w:r>
    </w:p>
    <w:p>
      <w:r>
        <w:t>P12374/2020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