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ACPR/592/2021 vom 17. August 2021</w:t>
      </w:r>
    </w:p>
    <w:p>
      <w:r>
        <w:t>GE Cour de justice, 2021-08-17, FR</w:t>
      </w:r>
    </w:p>
    <w:p>
      <w:r>
        <w:rPr>
          <w:b/>
        </w:rPr>
        <w:t xml:space="preserve">Quelle: </w:t>
      </w:r>
      <w:r>
        <w:t>https://mcp.opencaselaw.ch/entscheid/ge_gerichte_ACPR_592_2021</w:t>
      </w:r>
    </w:p>
    <w:p>
      <w:r>
        <w:t>FR: GE_GERICHTE ACPR/592/2021 du 17 août 2021</w:t>
      </w:r>
    </w:p>
    <w:p>
      <w:r>
        <w:t>IT: GE_GERICHTE ACPR/592/2021 del 17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s'y attarder, mais à renvoyer, en tant que de besoin, à la motivation exhaustive du premier juge (art. 82</w:t>
      </w:r>
    </w:p>
    <w:p>
      <w:r>
        <w:t>- 4/9 - P/6742/2021 al. 4 CPP; arrêt du Tribunal fédéral 1B_252/2020 du 11 juin 2020 consid. 2.1. ; ACPR/547/2020 du 18 août 2020 consid. 2 et les références; N. SCHMID / D. JOSITSCH, Schweizerische Strafprozessordnung : Praxiskommentar, 3e éd., Zurich 2018, n. 15 ad art. 82), qui expose les indices graves et concordants pesant sur le recourant.</w:t>
      </w:r>
    </w:p>
    <w:p>
      <w:r>
        <w:rPr>
          <w:b/>
        </w:rPr>
        <w:t>E. 3</w:t>
      </w:r>
    </w:p>
    <w:p>
      <w:r>
        <w:t>Le recourant conteste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particulier sa constitution psychique, son ancrage familial, sa situation financière et sa capacité à exercer une activité professionnelle (ATF 143 IV 9 consid. 2.3.2 ; 137 IV 84 consid. 3.2 ; arrêts du Tribunal fédéral 1B_413/2019 du 11 septembre 2019 consid. 3.1 et 1B_455/2016 du 9 décembre 2016 consid. 3.1. ; Y. JEANNERET / A. KUHN / C. PERRIER DEPEURSINGE (éds), Commentaire romand : Code de procédure pénale suisse, 2e éd., Bâle 2019, n°24 ad. 221).</w:t>
      </w:r>
    </w:p>
    <w:p>
      <w:r>
        <w:rPr>
          <w:b/>
        </w:rPr>
        <w:t>E. 3.2</w:t>
      </w:r>
    </w:p>
    <w:p>
      <w:r>
        <w:t>En l'espèce, quoi qu'en dise le recourant, le risque de réitération est concret et peut se fonder sur des faits précis, voire admis. Ces faits ne se résument pas à une atteinte au patrimoine, mais touchent aussi de façon prépondérante à la liberté et à l'intégrité d'autrui, jusques et y compris celles de la mère de deux de ses enfants. Le recourant paraît s'être prêté sans difficulté à une série plutôt rapprochée d’agressions qui avaient pour seule fin de lui procurer quelque argent, alors qu’il n’apparaît pas démuni et affirme même pouvoir subvenir « amplement » à ses besoins. Ses sept condamnations, à l’âge de 32 ans, dénotent déjà, qu'il le veuille ou non, une propension à la violence. Il n’explique d’ailleurs pas en quoi elles devraient être « relativisées ». Deux d’entre elles portent sur des lésions corporelles, et les autres montrent un penchant certain à faire fi de ses devoirs ou des interdits légaux. Toutes ces inscriptions se suivent dans une période de trois ans.</w:t>
      </w:r>
    </w:p>
    <w:p>
      <w:r>
        <w:t>- 5/9 - P/6742/2021 À cet égard, il n’y a pas à éluder le constat que les faits actuellement poursuivis montrent une gravité croissante par rapport à ses antécédents. Dans ce sens, ils ne leur sont, certes, pas « comparables ». En outre, de sa situation personnelle, on comprend que, s'il était libéré, le recourant retrouverait, aussi désœuvré qu'auparavant, les mêmes conditions de vie que celles qui étaient les siennes avant la commission des actes reprochés et la détention. Les deux offres, apparemment dans la branche du bâtiment, dont il se prévaut, et qui ne sont pas sans présenter des similitudes typographiques et rédactionnelles, sont particulièrement évasives sur les tâches qui seraient attendues de lui. La première se lit comme l’offre de travailler « deux jours par semaine pendant un mois », et ce, « au plus tôt » à partir du 1er juillet écoulé ; la seconde prendrait, certes, effet au 1er septembre 2021, mais pour « un temps et un taux horaire » à définir. Ces conditions ne paraissent pas suffisamment incitatives pour un prévenu qui assure, par ailleurs, que l’assistance publique lui permet « amplement » de subvenir à ses besoins, comme on l’a vu. Quant à la soumission à un traitement médical, le recourant n’explique pas quelle affection, en lien avec les faits, il conviendrait de soigner. L'ensemble de ces éléments laisse persister une inquiétude concrète pour la sécurité publique, en cas de libération du recourant, et fonde donc un pronostic défavorable.</w:t>
      </w:r>
    </w:p>
    <w:p>
      <w:r>
        <w:rPr>
          <w:b/>
        </w:rPr>
        <w:t>E. 4</w:t>
      </w:r>
    </w:p>
    <w:p>
      <w:r>
        <w:t>Le risque de réitération étant réalisé, il ne sera pas procédé à l'examen du danger de collusion retenu par le premier juge. La Chambre de céans peut, en effet, s'en dispenser lorsqu'une des hypothèses prévues à l'art. 221 al. 1 CP est réalisée (arrêt du Tribunal fédéral 1B_322/2019 du 17 juillet 2019 consid. 3.3 et la jurisprudence citée).</w:t>
      </w:r>
    </w:p>
    <w:p>
      <w:r>
        <w:rPr>
          <w:b/>
        </w:rPr>
        <w:t>E. 5</w:t>
      </w:r>
    </w:p>
    <w:p>
      <w:r>
        <w:t>Le recourant se plaint de la durée de sa détention provisoire, qu’il estime disproportionnée et due à la remise retardée d’un rapport de police sur les données de téléphonie.</w:t>
      </w:r>
    </w:p>
    <w:p>
      <w:r>
        <w:rPr>
          <w:b/>
        </w:rPr>
        <w:t>E. 5.1</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w:t>
      </w:r>
    </w:p>
    <w:p>
      <w:r>
        <w:rPr>
          <w:b/>
        </w:rPr>
        <w:t>E. 5.2</w:t>
      </w:r>
    </w:p>
    <w:p>
      <w:r>
        <w:t>En l’espèce, la durée de la détention du recourant à ce jour n'atteint pas la durée de la peine à laquelle il s'exposerait concrètement s’il était reconnu coupable de toutes les préventions retenues contre lui – le brigandage est passible d’une peine privative de liberté de six mois au moins (art. 140 ch. 1 CP) –.</w:t>
      </w:r>
    </w:p>
    <w:p>
      <w:r>
        <w:t>- 6/9 - P/6742/2021</w:t>
      </w:r>
    </w:p>
    <w:p>
      <w:r>
        <w:rPr>
          <w:b/>
        </w:rPr>
        <w:t>E. 5.3</w:t>
      </w:r>
    </w:p>
    <w:p>
      <w:r>
        <w:t>À supposer que le grief doive être compris comme l’invocation du principe de célérité (art. 5 al. 2 CPP), il tomberait à faux. N'importe quel retard n'est pas suffisant. Il doit s'agir d'un manquement particulièrement grave, faisant au surplus apparaître que l'autorité de poursuite n'est plus en mesure de conduire la procédure à chef dans un délai raisonnable (ATF 140 IV 74 consid. 3.2 p. 80 ; 137 IV 118 consid. 2.1 p. 120 ; 137 IV 92 consid. 3.1 p. 96 et les arrêts cités). Des temps morts sont inévitables dans la conduite d’une instruction pénale (not. arrêt du Tribunal fédéral 6B_1086/2019 du 6 mai 2020 consid. 7.3.1. et les références), qui ne s’apprécie pas non plus à la seule aune des audiences convoquées par le Ministère public (ACPR/536/2021 du 16 août 2021 consid. 2.1. ; ACPR/339/2020 du 22 mai 2020 consid. 5.2. ; ACPR/196/2018 du 4 avril 2018 consid. 5.2. ; ACPR/373/2013 du</w:t>
      </w:r>
    </w:p>
    <w:p>
      <w:r>
        <w:rPr>
          <w:b/>
        </w:rPr>
        <w:t>E. 7</w:t>
      </w:r>
    </w:p>
    <w:p>
      <w:r>
        <w:t>Le recourant, qui succombe, supportera les frais envers l'État, qui comprendront un émolument de CHF 900.- (art. 428 al. 1 CPP et 13 al. 1 du Règlement fixant le tarif des frais en matière pénale, RTFMP;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t>- 7/9 - P/6742/2021</w:t>
      </w:r>
    </w:p>
    <w:p>
      <w:r>
        <w:rPr>
          <w:b/>
        </w:rPr>
        <w:t>E. 8.2</w:t>
      </w:r>
    </w:p>
    <w:p>
      <w:r>
        <w:t>En l'occurrence, le recours, premier à être exercé, n'étant pas manifestement abusif, l'assistance juridique sera ainsi accordée pour le recours, et l'indemnité sera fixée à la fin de la procédure (art. 135 al. 2 CPP). * * * * *</w:t>
      </w:r>
    </w:p>
    <w:p>
      <w:r>
        <w:t>- 8/9 - P/6742/2021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