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ACPR/591/2018 vom 26. Juni 2018</w:t>
      </w:r>
    </w:p>
    <w:p>
      <w:r>
        <w:t>GE Cour de justice, 2018-06-26, FR</w:t>
      </w:r>
    </w:p>
    <w:p>
      <w:r>
        <w:rPr>
          <w:b/>
        </w:rPr>
        <w:t xml:space="preserve">Quelle: </w:t>
      </w:r>
      <w:r>
        <w:t>https://mcp.opencaselaw.ch/entscheid/ge_gerichte_ACPR_591_2018</w:t>
      </w:r>
    </w:p>
    <w:p>
      <w:r>
        <w:t>FR: GE_GERICHTE ACPR/591/2018 du 26 juin 2018</w:t>
      </w:r>
    </w:p>
    <w:p>
      <w:r>
        <w:t>IT: GE_GERICHTE ACPR/591/2018 del 26 giugno 2018</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w:t>
      </w:r>
    </w:p>
    <w:p>
      <w:r>
        <w:rPr>
          <w:b/>
        </w:rPr>
        <w:t>E. 1.2</w:t>
      </w:r>
    </w:p>
    <w:p>
      <w:r>
        <w:t>Le recours est, en l'occurrence, dirigé contre une décision rendue par le SAPEM, dans une matière pour laquelle il est compétent (art. 40 al. 1 et 5 al. 1 let. d LaCP; art. 11 al. 1 let. e du règlement genevois sur l'exécution des peines privatives de liberté et des mesures entraînant une privation de liberté [REPM; E 4 55.05]). 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qui a qualité pour agir, ayant un intérêt juridiquement protégé à la modification ou à l'annulation de la décision querellée (art. 382 al. 1 CPP et 42 al. 2 LaCP). Il est dès lors recevable.</w:t>
      </w:r>
    </w:p>
    <w:p>
      <w:r>
        <w:rPr>
          <w:b/>
        </w:rPr>
        <w:t>E. 2</w:t>
      </w:r>
    </w:p>
    <w:p>
      <w:r>
        <w:t>Le recourant considère qu'il ne présente pas de risques avérés de fuite et de récidive au sens de l'art. 59 CP.</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w:t>
      </w:r>
    </w:p>
    <w:p>
      <w:r>
        <w:t>- 10/13 - PS/47/2018 Le risque est qualifié quand il est concret et qu'il est hautement probable que le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6B_319/2017 du 28 septembre 2017 consid. 1.1; 6B_845/2016 du 29 juin 2017 consid. 3.1.2; 6B_1040/2015 du 29 juin 2016 consid. 5.1 et les arrêts cités).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6B_1045/2013 du 14 avril 2014 consid. 2.1.1; 6B_517/2012 du 21 janvier consid. 3.1.2; 6B_384/2010 du 15 septembre 2010 consid. 2.1.2 et 6B_629/2009 du 21 décembre 2009 consid. 1.2.2.2). Le risque de récidive doit être concret et hautement probable, c'est-à-dire résulter de l'appréciation d'une série de circonstances. Il vise cette fois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l'insoumission vis-à-vis des employés de l'établissement ou la violation de règles internes de celui-ci sont, en soi, insuffisantes pour justifier le placement en milieu fermé (arrêts du Tribunal fédéral 6B_1040/2015 du 29 juin 2016 consid. 5.1 et 5.2; 6B_1045/2013 précité, 6B_538/2013 du 14 octobre 2013 consid. 3.1; 6B_372/2012 du 27 septembre 2012 consid. 2.3; 6B_205/2012 du 27 juillet 2012 consid. 3.2.2, 6B_384/2010 précité et 6B_629/2009 du 21 décembre 2009 consid. 1.2.2.2). 2.2.1 En l'espèce, s'il ressort du dossier que le recourant a fugué à plusieurs reprises, ces sorties furent de courte durée et l'on ne peut considérer que celle du 2 mai 2018, avec valise et radio, soit le reflet d'une volonté ferme et durable, au sens de la jurisprudence, de s'évader. Le risque de fuite a toujours été considéré comme étant</w:t>
      </w:r>
    </w:p>
    <w:p>
      <w:r>
        <w:t>- 11/13 - PS/47/2018 faible au regard de ses attaches familiales avec la Suisse. Tout laisse penser que le recourant s'absentait sans autorisation pour pouvoir s'alcooliser mais non pour quitter la Suisse. Aucun risque de fuite avéré au sens de l'art. 59 CP ne peut être retenu en l'état.</w:t>
      </w:r>
    </w:p>
    <w:p>
      <w:r>
        <w:t>2.2.2. Les médecins ont relevé que le recourant, depuis son retour à l'UHPP le 12 juin 2018, s'était montré tendu, nerveux, non preneur de soins, frustré de ne plus pouvoir sortir du domaine pour ses sorties habituelles et pour son travail. Il n'avait accepté de suivre sa prescription médicamenteuse qu'à la suite des explications répétées du corps médico-soignant. Il avait présenté un état de tension psychomotrice aiguë, verbalisant des intentions suicidaires en cas de frustration à la suite du refus clair de l’autoriser à passer plus de temps en dehors de l’Unité et a fait des allusions à des possibles passages à l’acte hétéro-agressifs. Dans ce contexte, les médecins n'ont cependant pas préconisé de placement en milieu fermé pour empêcher le recourant de continuer à fuguer et à s'alcooliser mais ils l'ont pris en charge en chambre sécurisée à l'unité ______. Ces événements, tout inacceptables qu'ils puissent être, ne permettent pas de considérer que le recourant représente une grave mise en danger pour la sécurité et l'ordre dans l'établissement dans lequel il se trouve, où à l'extérieur de celui-ci. Le risque de récidive inhérent à toute personne faisant l'objet d'une mesure thérapeutique (art. 56 al. 1 let. b CP) ne suffit pas à justifier un placement en milieu fermé au sens de l'art. 59 al. 3 CP. Les comportements visés, qui semblent faire craindre chez le recourant "l'apparition d'une pathologie non diagnostiquée" et une décompensation, ont justifié des adaptations de la mesure par les médecins, certes régulières. Cependant, aucun élément du dossier ne permet de retenir un danger concret pour la collectivité, à tout le moins en l'absence d'une expertise psychiatrique récente; une bagarre au sujet de laquelle aucun détail n'est fourni et des comportements agressifs envers le personnel soignant sans autre explication n'étaient pas suffisants pour justifier un retour en milieu fermé. Le placement en milieu fermé ne peut être une sanction face à un refus de respecter le cadre thérapeutique ni une solution face aux difficultés d'encadrement clinique.</w:t>
      </w:r>
    </w:p>
    <w:p>
      <w:r>
        <w:t>Les griefs sont fondés.</w:t>
      </w:r>
    </w:p>
    <w:p>
      <w:r>
        <w:rPr>
          <w:b/>
        </w:rPr>
        <w:t>E. 3</w:t>
      </w:r>
    </w:p>
    <w:p>
      <w:r>
        <w:t>Non justifiée, la décision querellée sera donc annulée.</w:t>
      </w:r>
    </w:p>
    <w:p>
      <w:r>
        <w:rPr>
          <w:b/>
        </w:rPr>
        <w:t>E. 4</w:t>
      </w:r>
    </w:p>
    <w:p>
      <w:r>
        <w:t>Vu l'issue du recours, les frais seront laissés à la charge de l'État (art. 428 al. 1 CPP).</w:t>
      </w:r>
    </w:p>
    <w:p>
      <w:r>
        <w:rPr>
          <w:b/>
        </w:rPr>
        <w:t>E. 5</w:t>
      </w:r>
    </w:p>
    <w:p>
      <w:r>
        <w:t>Le recourant demande la nomination d'office de son avocat.</w:t>
      </w:r>
    </w:p>
    <w:p>
      <w:r>
        <w:t>- 12/13 - PS/47/2018</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avocat-stagiaire est rémunéré au tarif de CHF 110.-/heure (nouvel art. 16 al. 1 let. a RAJ applicable à tous les états de frais dont la taxation n'est pas définitive au 1er octobre 2018 (art. 23 RAJ)) et le chef d'étude est rémunéré au tarif de CHF 200.-/heure, débours de l'étude inclus.</w:t>
      </w:r>
    </w:p>
    <w:p>
      <w:r>
        <w:rPr>
          <w:b/>
        </w:rPr>
        <w:t>E. 5.2</w:t>
      </w:r>
    </w:p>
    <w:p>
      <w:r>
        <w:t>Dans le cas présent, le recourant, détenu dans le cadre de l'exécution d'une peine, est très vraisemblablement indigent et la difficulté de la cause, portant sur une question juridique relative aux risques avérés de fuite et de réitération, justifiait le recours à l'assistance d'un avocat. Le recourant n'a pas déposé d'état de frais de son défenseur (art. 17 RAJ). Les observations de dix pages et la réplique de sept pages ont été signées par "______" soit Me J______, avocate-stagiaire, excusant Me C______, et rien ne permet de penser que la première citée ne les aurait pas rédigées. En application des principes exposés, la Chambre de céans estime ainsi adéquat d'arrêter le temps nécessaire à la défense des intérêts du recourant à 9 heures d'activité de stagiaire. L'indemnité due au défenseur d'office sera dès lors fixée à CHF 1'066.25.- (TVA à 7.7% comprise; art. 421 al. 1 CPP). * * * * *</w:t>
      </w:r>
    </w:p>
    <w:p>
      <w:r>
        <w:t>- 13/13 - PS/47/2018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