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ACPR/590/2018 vom 29. Juni 2018</w:t>
      </w:r>
    </w:p>
    <w:p>
      <w:r>
        <w:t>GE Cour de justice, 2018-06-29, FR</w:t>
      </w:r>
    </w:p>
    <w:p>
      <w:r>
        <w:rPr>
          <w:b/>
        </w:rPr>
        <w:t xml:space="preserve">Quelle: </w:t>
      </w:r>
      <w:r>
        <w:t>https://mcp.opencaselaw.ch/entscheid/ge_gerichte_ACPR_590_2018</w:t>
      </w:r>
    </w:p>
    <w:p>
      <w:r>
        <w:t>FR: GE_GERICHTE ACPR/590/2018 du 29 juin 2018</w:t>
      </w:r>
    </w:p>
    <w:p>
      <w:r>
        <w:t>IT: GE_GERICHTE ACPR/590/2018 del 29 giugno 2018</w:t>
      </w:r>
    </w:p>
    <w:p>
      <w:pPr>
        <w:pStyle w:val="Heading2"/>
      </w:pPr>
      <w:r>
        <w:t>Erwägungen</w:t>
      </w:r>
    </w:p>
    <w:p>
      <w:r>
        <w:rPr>
          <w:b/>
        </w:rPr>
        <w:t>E. 1</w:t>
      </w:r>
    </w:p>
    <w:p>
      <w:r>
        <w:t>Le recours est recevable pour avoir été déposé selon la forme et dans le délai prescrits – l'ordonnance entreprise ayant été expédiée par pli simple –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en premier lieu à l'ordonnance entreprise d'être insuffisamment motivée.</w:t>
      </w:r>
    </w:p>
    <w:p>
      <w:r>
        <w:rPr>
          <w:b/>
        </w:rPr>
        <w:t>E. 3.1</w:t>
      </w:r>
    </w:p>
    <w:p>
      <w:r>
        <w:t>À teneur de l'art. 80 CPP, les prononcés des autorités pénales, qu'ils revêtent la forme de jugements, de décisions ou d'ordonnances (al. 1), doivent être rendus par écrit et motivés (al. 2). 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w:t>
      </w:r>
    </w:p>
    <w:p>
      <w:r>
        <w:t>- 5/9 - P/3299/2016 argumentation ou point de vue n'a pas été retenu, de décider en toute connaissance de cause s'il se justifie de porter l'affaire à une instance supérieure et, enfin, à celle-ci de contrôler que le droit a été correctement appliqué (ATF 138 IV 81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181et les arrêts cités).</w:t>
      </w:r>
    </w:p>
    <w:p>
      <w:r>
        <w:rPr>
          <w:b/>
        </w:rPr>
        <w:t>E. 3.2</w:t>
      </w:r>
    </w:p>
    <w:p>
      <w:r>
        <w:t>En l'espèce, si la motivation de l'ordonnance attaquée est, certes, lapidaire, elle fait suite à un échange de courriers nourris entre les parties, lors duquel elles ont chacune pu exprimer leur point de vue sur la question soulevée par le prévenu, à savoir la capacité de B______ d'être partie plaignante au civil et au pénal dans la présente procédure. Les éléments figurant dans l'ordonnance entreprise étaient ainsi suffisants pour permettre au recourant de comprendre que le Ministère public s'était rallié aux arguments de B______, quand bien même il ne les avait pas repris in extenso. Le recourant savait donc de quoi il en retournait et a pu, en toute connaissance de cause, interjeter recours, lui-même reprenant au demeurant la même argumentation qu'il avait déjà exposée dans ses courriers adressés au Ministère public. Partant, son grief sera écarté.</w:t>
      </w:r>
    </w:p>
    <w:p>
      <w:r>
        <w:rPr>
          <w:b/>
        </w:rPr>
        <w:t>E. 4</w:t>
      </w:r>
    </w:p>
    <w:p>
      <w:r>
        <w:t>Le recourant conteste la qualité de partie plaignante de B______.</w:t>
      </w:r>
    </w:p>
    <w:p>
      <w:r>
        <w:rPr>
          <w:b/>
        </w:rPr>
        <w:t>E. 4.1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w:t>
      </w:r>
    </w:p>
    <w:p>
      <w:r>
        <w:t>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w:t>
      </w:r>
    </w:p>
    <w:p>
      <w:r>
        <w:t>- 6/9 - P/3299/2016</w:t>
      </w:r>
    </w:p>
    <w:p>
      <w:r>
        <w:t>Pour être directement touché, le lésé doit, en outre, subir une atteinte en rapport de causalité directe avec l'infraction poursuivie, ce qui exclut les dommages par ricochet (arrêt du Tribunal fédéral 1B_294/2013 du 24 septembre 2013 consid. 2.1). Il ne suffit donc pas, contrairement à ce que laisse penser le texte de la loi, que le lésé soit touché dans ses droits, et ce, même si l'ordre juridique protège habituellement ceux- ci (A. KUHN / Y. JEANNERET (éds), Commentaire romand : Code de procédure pénale suisse, Bâle 2011, n. 9 ad art. 115; ATF 117 I a 135 consid. 2b). Les personnes subissant un préjudice indirect n'ont ainsi pas le statut de lésé et sont des tiers n'ayant pas accès au statut de partie à la procédure (Y. JEANNERET / A. KUHN, Précis de procédure pénale, Berne 2013, n. 7017).</w:t>
      </w:r>
    </w:p>
    <w:p>
      <w:r>
        <w:rPr>
          <w:b/>
        </w:rPr>
        <w:t>E. 4.2</w:t>
      </w:r>
    </w:p>
    <w:p>
      <w:r>
        <w:t>De jurisprudence constante, lorsqu'une infraction est perpétrée au détriment du patrimoine d'une personne morale, soit par exemple un abus de confiance ou une gestion déloyale,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 JdT 2015 IV 107; 138 IV 258 consid. 2.3 p. 263).</w:t>
      </w:r>
    </w:p>
    <w:p>
      <w:r>
        <w:t>Lorsque les infractions visées sont des crimes ou délits dans la faillite et la poursuite pour dettes au sens des art. 163 ss CP, le bien juridique protégé est le patrimoine des créanciers ou, plus précisément, leur droit à être désintéressés sur le patrimoine du débiteur dans la procédure d'exécution forcée. Dans l'hypothèse où l'une de ces infractions entre en ligne de compte, les créanciers individuels sont considérés comme directement touchés (A. GARBARSKI, Qualité de partie plaignante et criminalité économique: quelques questions d'actualité, in RPS 130 (2012) 160ss, p. 182 ss).</w:t>
      </w:r>
    </w:p>
    <w:p>
      <w:r>
        <w:rPr>
          <w:b/>
        </w:rPr>
        <w:t>E. 4.3</w:t>
      </w:r>
    </w:p>
    <w:p>
      <w:r>
        <w:t>En l'occurrence, le recourant conteste que B______ soit créancière de la société faillie au motif que sa créance n'a jamais été colloquée dans la faillite, faute d'une procédure de liquidation.</w:t>
      </w:r>
    </w:p>
    <w:p>
      <w:r>
        <w:t>Indépendamment du fait que ce grief a été soulevé pour la première fois par le recourant le 3 avril 2018, soit plus d'une année après que B______ eut confirmé sa constitution de partie plaignante – laquelle avait été admise par la Chambre de céans dans son arrêt du 5 décembre 2017, le prévenu ne l'ayant au demeurant nullement contestée – et alors que l'instruction de la cause était close et sur le point d'être renvoyée en jugement, force est de constater qu'il tombe à faux.</w:t>
      </w:r>
    </w:p>
    <w:p>
      <w:r>
        <w:t>Il est en effet ici notamment reproché au prévenu une diminution effective de l'actif au préjudice des créanciers (art. 164 CP) et une gestion fautive (art. 165 CP). B______ a établi, par le jugement du TPI du 25 juin 2013, être créancière de la société faillie. Le présent cas étant différent de celui où c'est la société faillie elle-</w:t>
      </w:r>
    </w:p>
    <w:p>
      <w:r>
        <w:t>- 7/9 - P/3299/2016 même qui a été victime d'infractions à son patrimoine, peu importe que la créance de B______ n'ait pas été colloquée dans la faillite, vu sa suspension faute d'actifs et l'absence de liquidation, ou qu'il n'y ait pas eu de cession des droits de la masse en sa faveur.</w:t>
      </w:r>
    </w:p>
    <w:p>
      <w:r>
        <w:t>Il en résulte ainsi que B______ a la qualité de lésée au sens de l'art. 115 al. 1 CPP. Partant, sa qualité de partie plaignante à la procédure doit être admise.</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r>
        <w:t>- 8/9 - P/3299/2016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