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ACPR/587/2024 vom 9. August 2024</w:t>
      </w:r>
    </w:p>
    <w:p>
      <w:r>
        <w:t>GE Cour de justice, 2024-08-09, FR</w:t>
      </w:r>
    </w:p>
    <w:p>
      <w:r>
        <w:rPr>
          <w:b/>
        </w:rPr>
        <w:t xml:space="preserve">Quelle: </w:t>
      </w:r>
      <w:r>
        <w:t>https://mcp.opencaselaw.ch/entscheid/ge_gerichte_ACPR_587_2024</w:t>
      </w:r>
    </w:p>
    <w:p>
      <w:r>
        <w:t>FR: GE_GERICHTE ACPR/587/2024 du 9 août 2024</w:t>
      </w:r>
    </w:p>
    <w:p>
      <w:r>
        <w:t>IT: GE_GERICHTE ACPR/587/2024 del 9 agosto 2024</w:t>
      </w:r>
    </w:p>
    <w:p>
      <w:pPr>
        <w:pStyle w:val="Heading2"/>
      </w:pPr>
      <w:r>
        <w:t>Erwägungen</w:t>
      </w:r>
    </w:p>
    <w:p>
      <w:r>
        <w:rPr>
          <w:b/>
        </w:rPr>
        <w:t>E. 1.1</w:t>
      </w:r>
    </w:p>
    <w:p>
      <w:r>
        <w:t>Le recours a été interjeté selon la forme et – faute de notification conforme à l'art. 85 al. 2 CPP – dans le délai prescrits (art. 385 al. 1 et 396 al. 1 CPP), concerne une ordonnance sujette à recours auprès de la Chambre de céans (art. 393 al. 1 let. a CPP) et émane de la plaignante (art. 104 al. 1 let. b CPP). De ce point de vue, il est recevable.</w:t>
      </w:r>
    </w:p>
    <w:p>
      <w:r>
        <w:t>- 5/10 - P/26186/2023</w:t>
      </w:r>
    </w:p>
    <w:p>
      <w:r>
        <w:rPr>
          <w:b/>
        </w:rPr>
        <w:t>E. 1.2</w:t>
      </w:r>
    </w:p>
    <w:p>
      <w:r>
        <w:t>La qualité pour recourir (art. 382 al. 1 CPP) de la recourante et partant, son statut d'ayant droit au sens de l'art. 186 CP, semblent a priori acquis à l'égard de E______ SA, dès lors que celle-ci ne jouit pas d'un droit d'usage découlant d'un contrat de bail (cf. ATF 146 IV 320 consid 2.4 = JdT 2021 IV 75). Cette question peut toutefois souffrir de rester indécise, compte tenu de ce qui suit (cf. consid. 2. infra).</w:t>
      </w:r>
    </w:p>
    <w:p>
      <w:r>
        <w:rPr>
          <w:b/>
        </w:rPr>
        <w:t>E. 1.3</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mai 2022 consid. 2.2); il peut s'agir d'une personne physique comme d'une</w:t>
      </w:r>
    </w:p>
    <w:p>
      <w:r>
        <w:t>- 6/10 - P/26186/2023 personne morale (M. DUPUIS / L. MOREILLON / C. PIGUET / S. BERGER / M. MAZOU / V. RODIGARI, Code pénal - Petit commentaire, 2ème éd., Bâle 2017, n. 5 et 20 ad art. 186). L'extinction du rapport juridique lui conférant la maîtrise effective ne le prive pas de cette protection tant qu'il exerce son pouvoir. En effet, le droit d'utiliser les lieux (liberté de domicile) prend naissance avec leur occupation et cesse avec le départ de l'occupant, si bien que celui-ci reste l'ayant droit aussi longtemps qu'il n'a pas vidé les lieux, quand bien même il y demeure sans droit (ATF 118 IV 167 consid. 1c; 112 IV 31 consid. 3). Pour retenir une violation de domicile, il faut par ailleurs que l'auteur ait agi de manière illicite. Cette exigence a pour but d'exclure l'infraction lorsque l'auteur est lui-même un ayant droit (B. CORBOZ, Les infractions en droit suisse, vol. I, Berne, 2010, n. 41-42). 2.2.2. L'infraction est intentionnelle. Le dol éventuel suffit (ATF 108 IV 40). Pour que l'élément constitutif subjectif soit réalisé, non seulement l'auteur doit avoir conscience de pénétrer ou rester volontairement, mais il faut encore qu'il veuille ou accepte que ce soit sans droit et contre la volonté de l'ayant droit ou l'injonction de sortir donnée par celui-ci (ATF 90 IV 79 consid. 3).</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2.2.1. L'art. 186 CP, punit,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Dans la systématique du code pénal, cette infraction est incorporée dans le Titre quatrième, réprimant les crimes et délits contre la liberté. Plus particulièrement, le bien protégé est la liberté du domicile qui comprend la faculté de régner sur des lieux déterminés sans être troublé et d'y manifester librement sa propre volonté. La liberté du domicile appartient donc à la personne qui a le pouvoir de disposer des lieux, en vertu d'un droit contractuel, d'un droit réel ou d'un rapport de droit public (ATF 128 IV 81 consid. 3a; 118 IV 167 consid. 1c; arrêt du Tribunal fédéral 6B_1025/2021 du</w:t>
      </w:r>
    </w:p>
    <w:p>
      <w:r>
        <w:rPr>
          <w:b/>
        </w:rPr>
        <w:t>E. 2.3</w:t>
      </w:r>
    </w:p>
    <w:p>
      <w:r>
        <w:t>En l'espèce, bien que le contrat de bail signé initialement avec G______ SA ait pris fin, cela ne signifie pas encore que celle-ci ne bénéficierait plus de la protection accordée par le droit pénal. La qualité d'ayant droit au sens de l'art. 186 CP se définissant uniquement par l'occupation et/ou le départ du résident, il s'agit donc de déterminer si l'intéressée a conservé la maîtrise effective des lieux, après cette résiliation. Or, il appert que cette société n'a, à ce jour, ni quitté ni vidé les lieux. La clé du local semble, de surcroît, toujours avoir été à sa disposition. Elle n'a ainsi jamais cessé d'occuper le hangar – ce que la recourante ne conteste d'ailleurs pas –, de sorte que, conformément à la jurisprudence précitée, elle en conserve la maîtrise effective et revêt le statut d'ayant droit des locaux au sens de l'art. 186 CP. Par conséquent, G______ SA n'a pas commis de violation de domicile en continuant d'occuper les lieux. Quant à E______ SA, elle a été autorisée à pénétrer et demeurer dans le hangar par G______ SA, dont elle pouvait, au vu des circonstances, penser qu'elle était, à tout le moins, l'une des légitimes ayants droit du local. En effet, selon ses administrateurs, dont l'un d'eux est le même que celui de G______ SA, E______ SA occupait une partie du hangar depuis 2017 et avait conclu un contrat de bail avec la première citée, laquelle louait les lieux à A______. À la suite du jugement d'évacuation contre G______ SA du 21 décembre 2017, exécutoire depuis le 6 février 2018, un accord sur un plan de remboursement avait été trouvé entre G______ SA et A______. Cette</w:t>
      </w:r>
    </w:p>
    <w:p>
      <w:r>
        <w:t>- 7/10 - P/26186/2023 dernière n'avait requis aucune mesure d'évacuation contre la précitée jusqu'en août 2023, soit durant près de six ans. G______ SA s'était d'ailleurs prévalue devant les instances civiles de l'existence d'un bail tacite la liant à A______; existence qui ne peut, selon l'ordonnance du TBL du 12 octobre 2023, être d'emblée niée. Dans ce contexte, il ne paraît guère possible de prêter une intention délictuelle à E______ SA, laquelle est uniquement liée contractuellement à G______ SA, ce d'autant que son occupation des locaux semble, à tout le moins, antérieure aux mesures d'évacuation entreprises par A______, en août 2023. Par conséquent, une volonté de pénétrer et demeurer sans droit dans le hangar ne peut, en l'état, être établie chez E______ SA. Il s'ensuit que les éléments constitutifs de l'infraction de violation de domicile ne sont pas réunis.</w:t>
      </w:r>
    </w:p>
    <w:p>
      <w:r>
        <w:rPr>
          <w:b/>
        </w:rPr>
        <w:t>E. 2.4</w:t>
      </w:r>
    </w:p>
    <w:p>
      <w:r>
        <w:t>S'agissant de la conclusion subsidiaire de la recourante, tendant à la suspension de la procédure jusqu'à droit définitivement jugé dans le cadre de la procédure C/1______/2023, elle sera rejetée. En effet, il s'avère que dans son résultat, la non- entrée en matière ne se distingue pas fondamentalement d'une suspension, puisque l'art. 323 al. 1 CPP permettra la reprise de la procédure en cas de faits ou moyens de preuve nouveaux (arrêt du Tribunal fédéral 1B_67/2012 du 29 mai 2012 consid. 3.2).</w:t>
      </w:r>
    </w:p>
    <w:p>
      <w:r>
        <w:rPr>
          <w:b/>
        </w:rPr>
        <w:t>E. 3</w:t>
      </w:r>
    </w:p>
    <w:p>
      <w:r>
        <w:t>Justifiée, l'ordonnance querellée sera donc confirmée.</w:t>
      </w:r>
    </w:p>
    <w:p>
      <w:r>
        <w:rPr>
          <w:b/>
        </w:rPr>
        <w:t>E. 4</w:t>
      </w:r>
    </w:p>
    <w:p>
      <w:r>
        <w:t>La recourante, qui succombe, supportera les frais envers l'État, fixés en totalité à CHF 1'000.- (art. 428 al. 1 CPP et 13 al. 1 du Règlement fixant le tarif des frais en matière pénale, RTFMP ; E 4 10.03).</w:t>
      </w:r>
    </w:p>
    <w:p>
      <w:r>
        <w:rPr>
          <w:b/>
        </w:rPr>
        <w:t>E. 5</w:t>
      </w:r>
    </w:p>
    <w:p>
      <w:r>
        <w:t>5.1. L'intimé, prévenu, qui a conclu au rejet du recours et obtient dès lors gain de cause, a droit à une juste indemnité pour ses frais d'avocat, conformément à l'art. 429 al. 1 let. a CPP, applicable en instance de recours (art. 436 al. 1 CPP).</w:t>
      </w:r>
    </w:p>
    <w:p>
      <w:r>
        <w:rPr>
          <w:b/>
        </w:rPr>
        <w:t>E. 5.2</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t>En application de l'art. 429 al. 2 CPP, l'autorité pénale examine d'office les prétentions du prévenu et peut enjoindre l'intéressé de les chiffrer et de les justifier.</w:t>
      </w:r>
    </w:p>
    <w:p>
      <w:r>
        <w:t>- 8/10 - P/26186/2023</w:t>
      </w:r>
    </w:p>
    <w:p>
      <w:r>
        <w:rPr>
          <w:b/>
        </w:rPr>
        <w:t>E. 5.3</w:t>
      </w:r>
    </w:p>
    <w:p>
      <w:r>
        <w:t>En l'occurrence, le prévenu, intimé, n'a pas produit d'état de frais pour la procédure de recours, ni chiffré ses prétentions.</w:t>
      </w:r>
    </w:p>
    <w:p>
      <w:r>
        <w:t>Au vu du travail accompli, à savoir la rédaction de trois pages de réponse au recours (page de garde comprise) et de l'issue du recours, l'indemnité pour les frais de défense sera arrêtée, ex aequo et bono, à CHF 432.40, TVA à 8.1% – les prestations ayant été accomplies en 2024 – incluse, correspondant à une heure d'activité au tarif horaire de CHF 400.- appliqué par la Cour de justice au chef d'étude (ACPR/282/2014 du 30 mai 2014).</w:t>
      </w:r>
    </w:p>
    <w:p>
      <w:r>
        <w:t>Cette indemnité sera laissée à la charge de l'État (ATF 147 IV 47, consid. 4.2.5 et 4.2.6), la partie plaignante qui succombe devant l'autorité de recours n'ayant pas à supporter l'indemnité des frais de défense du prévenu lorsque la décision attaquée est une ordonnance de classement ou de non-entrée en matière (ATF 139 IV 45 consid. 1.2; arrêts du Tribunal fédéral 6B_1267/2019 du 13 mars 2020 consid. 2.2.1; 6B_105/2018 du 22 août 2018 consid. 4). * * * * *</w:t>
      </w:r>
    </w:p>
    <w:p>
      <w:r>
        <w:t>- 9/10 - P/26186/2023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