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ACPR/587/2018 vom 21. September 2018</w:t>
      </w:r>
    </w:p>
    <w:p>
      <w:r>
        <w:t>GE Cour de justice, 2018-09-21, FR</w:t>
      </w:r>
    </w:p>
    <w:p>
      <w:r>
        <w:rPr>
          <w:b/>
        </w:rPr>
        <w:t xml:space="preserve">Quelle: </w:t>
      </w:r>
      <w:r>
        <w:t>https://mcp.opencaselaw.ch/entscheid/ge_gerichte_ACPR_587_2018</w:t>
      </w:r>
    </w:p>
    <w:p>
      <w:r>
        <w:t>FR: GE_GERICHTE ACPR/587/2018 du 21 septembre 2018</w:t>
      </w:r>
    </w:p>
    <w:p>
      <w:r>
        <w:t>IT: GE_GERICHTE ACPR/587/2018 del 21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l'existence de charges suffisantes.</w:t>
      </w:r>
    </w:p>
    <w:p>
      <w:r>
        <w:rPr>
          <w:b/>
        </w:rPr>
        <w:t>E. 2.1</w:t>
      </w:r>
    </w:p>
    <w:p>
      <w:r>
        <w:t>À teneur de l'art. 221 al. 1 première phrase CPP, la détention provisoire ne peut être ordonnée que lorsque le prévenu est fortement soupçonné d'avoir commis un</w:t>
      </w:r>
    </w:p>
    <w:p>
      <w:r>
        <w:t>- 10/14 - P/12626/2017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 2.2.1. Selon l'art. 123 ch. et et 2 CP, est poursuivi d'office celui qui, intentionnellement, aura fait subir à une personne hors d'état de se défendre ou à une personne, notamment à un enfant, dont il avait la garde ou sur laquelle il avait le devoir de veiller, une autre atteinte que grave à l'intégrité corporelle ou à la santé. L'infraction est punie d'une peine privative de liberté de trois ans au plus ou d'une peine pécuniaire. 2.2.2. À teneur de l'art. 219 al. 1 CP, celui qui viole son devoir d'assister ou d'élever une personne mineure dont il aura ainsi mis en danger le développement physique ou psychique, ou qui aura manqué à ce devoir, est puni d'une peine privative de liberté de trois ans au plus ou d'une peine pécuniaire. L'infraction est un délit de mise en danger concrète pour le développement physique ou psychique du mineur. Il n'est donc pas nécessaire que le comportement de l'auteur aboutisse à une atteinte à l'intégrité corporelle ou psychique du mineur. Toutefois, la simple possibilité d'une telle atteinte ne suffit pas ; il faut que cette atteinte apparaisse à tout le moins vraisemblable dans le cas concret (ATF 126 IV 136 consid. 1b ; ATF 125 IV 64 consid. 1a ; M. DUPUIS / L. MOREILLON / C. PIGUET / S. BERGER / M. MAZOU / V. RODIGARI (éds), Code pénal - Petit commentaire, 2ème éd., Bâle 2017, n. 14 ad art. 219).</w:t>
      </w:r>
    </w:p>
    <w:p>
      <w:r>
        <w:rPr>
          <w:b/>
        </w:rPr>
        <w:t>E. 2.3</w:t>
      </w:r>
    </w:p>
    <w:p>
      <w:r>
        <w:t>En l'espèce, la prévention pour lésions corporelles simples, s'agissant des événements du 8 juin 2017, est étayée par la dénonciation du SPMi, les photographies des lésions, le certificat médical et les déclarations de C______ lors de son audition EVIG. Que l'enfant ait, par la suite, déclaré à son curateur – de manière chaotique – avoir dit des contrevérités aux policiers ne vient pas d'emblée annihiler</w:t>
      </w:r>
    </w:p>
    <w:p>
      <w:r>
        <w:t>- 11/14 - P/12626/2017 les charges, puisque l'enfant avait, avant l'entretien avec son curateur, parlé à sa mère, qui lui avait reproché d'avoir menti. Par ailleurs, les soupçons d'une infraction à l'art. 219 CP sont également suffisants, au vu des rapports du SPMi figurant au dossier, et les déclarations de l'enfant, desquels on retient, en l'état, à tout le moins une maltraitance psychologique. Ces délits suffisent, au regard de l'art. 221 al. 1 CPP.</w:t>
      </w:r>
    </w:p>
    <w:p>
      <w:r>
        <w:rPr>
          <w:b/>
        </w:rPr>
        <w:t>E. 3</w:t>
      </w:r>
    </w:p>
    <w:p>
      <w:r>
        <w:t>Tant le TMC que le Ministère public retiennent des besoins de l'instruction. Contrairement à l'ordonnance querellée, on ne saurait considérer que l'on se trouve au début de l'instruction, la recourante ayant déjà été entendue sur les faits principaux en mars 2018. La recourante a été entendue par la police sur les faits s'étant déroulés durant l'été 2018, qu'elle a admis, et elle s'est expliquée sur son comportement à la police le 20 septembre 2018. L'instruction de ces charges complémentaires ne justifie pas une mise en détention provisoire de la recourante. Pas plus que l'expertise psychiatrique. Certes, la recourante a démontré son pouvoir d'opposition à l'expertise ordonnée par le TPAE. Toutefois, les autorités précédentes n'allèguent pas qu'une hospitalisation de la recourante serait nécessaire (art. 186 al. 5 CPP), en l'état, pour l'établissement de l'expertise psychiatrique, qui n'a du reste été ordonnée que postérieurement à sa mise en détention. Partant, si l'instruction est toujours en cours, les actes d'instruction ordonnés ne justifient pas, à eux seuls, la détention provisoire de la recourante.</w:t>
      </w:r>
    </w:p>
    <w:p>
      <w:r>
        <w:rPr>
          <w:b/>
        </w:rPr>
        <w:t>E. 3.2</w:t>
      </w:r>
    </w:p>
    <w:p>
      <w:r>
        <w:t>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w:t>
      </w:r>
    </w:p>
    <w:p>
      <w:r>
        <w:t>Le Ministère public a retenu, dans sa demande de mise en détention provisoire, les risques de fuite et de collusion, que le TMC a écartés sans que le Procureur ne les mentionne à nouveau dans ses observations sur le recours, de sorte qu'il n'y a pas lieu d'y revenir en détail, sauf à retenir que les arguments du TMC à cet égard sont bien- fondés.</w:t>
      </w:r>
    </w:p>
    <w:p>
      <w:r>
        <w:rPr>
          <w:b/>
        </w:rPr>
        <w:t>E. 5</w:t>
      </w:r>
    </w:p>
    <w:p>
      <w:r>
        <w:t>La recourante conteste l'existence d'un risque de réitération.</w:t>
      </w:r>
    </w:p>
    <w:p>
      <w:r>
        <w:rPr>
          <w:b/>
        </w:rPr>
        <w:t>E. 5.1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w:t>
      </w:r>
    </w:p>
    <w:p>
      <w:r>
        <w:t>- 12/14 - P/12626/2017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w:t>
      </w:r>
    </w:p>
    <w:p>
      <w:r>
        <w:rPr>
          <w:b/>
        </w:rPr>
        <w:t>E. 5.2</w:t>
      </w:r>
    </w:p>
    <w:p>
      <w:r>
        <w:t>En l'espèce, le TMC a ordonné la mise en détention provisoire de la recourante au motif que son refus de se soumettre à l'interdiction d'approcher son fils et, partant, ses contacts illicites avec son enfant, auraient des "effets néfastes" sur celui-ci. Le Ministère public estime quant à lui que, par ses agissements, la recourante "met en danger la santé" de son fils, de sorte qu'il y a lieu d'attendre le rapport d'expertise psychiatrique. Ni l'autorité précédente ni le Ministère public ne se réfèrent toutefois à des éléments récents pour fonder leurs craintes selon lesquelles les récents contacts illicites de la recourante avec son fils mettraient en danger le développement physique ou psychique de ce dernier. Or, le dernier rapport du SPMi figurant au dossier, daté du 1er janvier 2018, fait état d'une tentative de fugue de l'enfant pour rejoindre sa mère. Le précédent rapport, du 20 décembre 2017, mentionne les "effets délétères" du comportement de la mère sur l'enfant, mais ce dernier, outre deux crises pouvant potentiellement être attribuées à ces rencontres en cachette, en août et octobre 2017, se portait bien et faisait des progrès. Un intervenant s'est, en revanche, inquiété du peu de contacts mère-fils et de ses conséquences sur l'enfant en termes d'attachement. On ne voit donc pas, en l'état du dossier, ce qui justifie, en septembre 2018, la mise en détention provisoire de la recourante. Sous l'angle de l'infraction prévue à l'art. 219 CP, seule retenue au regard du risque de réitération, le dossier ne permet pas de constater que les tentatives de rencontres illicites de la recourante avec son fils, durant l'été 2018, auraient concrètement mis ce dernier en danger. Il en va de même du contact que la recourante a admis avoir eu avec C______ le 20 septembre 2018, puisque tant l'ordonnance querellée – du lendemain –, que les observations du</w:t>
      </w:r>
    </w:p>
    <w:p>
      <w:r>
        <w:t>- 13/14 - P/12626/2017 Ministère public – quinze jours plus tard –, se réfèrent, en termes généraux, à des "effets néfastes" pour l'enfant ou à la mise en danger de sa santé, alors que l'infraction réprimée à l'art. 219 CP exige une mise en danger concrète (cf. consid. 2.2.2. supra). Le Ministère public se réfère, pour asseoir le danger allégué, au "dossier du SPMi et du TPAE", mais à aucun élément précis ni récent desdits dossiers. Il s'ensuit que l'ordonnance querellée échoue à démontrer l'existence d'un fait nouveau permettant de retenir, en l'état, un risque de réitération concret, sous l'angle de la violation du devoir d'assistance ou d'éducation. Au surplus, le TMC a écarté tout autre risque de réitération, sous réserve de la contravention prévue à l'art. 292 CP, laquelle n'autorise pas – comme il le constate d'ailleurs – une privation de liberté.</w:t>
      </w:r>
    </w:p>
    <w:p>
      <w:r>
        <w:rPr>
          <w:b/>
        </w:rPr>
        <w:t>E. 6</w:t>
      </w:r>
    </w:p>
    <w:p>
      <w:r>
        <w:t>Le recours s'avère ainsi fondé et la recourante sera remise en liberté.</w:t>
      </w:r>
    </w:p>
    <w:p>
      <w:r>
        <w:rPr>
          <w:b/>
        </w:rPr>
        <w:t>E. 7</w:t>
      </w:r>
    </w:p>
    <w:p>
      <w:r>
        <w:t>Les frais de la procédure seront laissés à la charge de l'État. * * * * *</w:t>
      </w:r>
    </w:p>
    <w:p>
      <w:r>
        <w:t>- 14/14 - P/12626/2017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