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ACPR/586/2019 vom 21. März 2019</w:t>
      </w:r>
    </w:p>
    <w:p>
      <w:r>
        <w:t>GE Cour de justice, 2019-03-21, FR</w:t>
      </w:r>
    </w:p>
    <w:p>
      <w:r>
        <w:rPr>
          <w:b/>
        </w:rPr>
        <w:t xml:space="preserve">Quelle: </w:t>
      </w:r>
      <w:r>
        <w:t>https://mcp.opencaselaw.ch/entscheid/ge_gerichte_ACPR_586_2019</w:t>
      </w:r>
    </w:p>
    <w:p>
      <w:r>
        <w:t>FR: GE_GERICHTE ACPR/586/2019 du 21 mars 2019</w:t>
      </w:r>
    </w:p>
    <w:p>
      <w:r>
        <w:t>IT: GE_GERICHTE ACPR/586/2019 del 21 marzo 2019</w:t>
      </w:r>
    </w:p>
    <w:p>
      <w:pPr>
        <w:pStyle w:val="Heading2"/>
      </w:pPr>
      <w:r>
        <w:t>Erwägungen</w:t>
      </w:r>
    </w:p>
    <w:p>
      <w:r>
        <w:rPr>
          <w:b/>
        </w:rPr>
        <w:t>E. 1.1</w:t>
      </w:r>
    </w:p>
    <w:p>
      <w:r>
        <w:t>Une décision prise par le TAPEM en application de l'art. 59 al. 4 CP constitue une décision judiciaire ultérieure indépendante au sens de l'art. 363 CPP (L. MOREILLON / A. PAREIN-REYMOND, Petit commentaire CPP, Bâle 2016, n. 5-6 ad. art. 363 ; A. DONATSCH / T. HANSJAKOB / V. LIEBER (éds), Kommentar zur Schweizerischen Strafprozessordnung (StPO), 2ème éd., Zurich 2014, n. 2 ad art. 363 ; A. KUHN / Y. JEANNERET (éds), Commentaire romand : Code de procédure pénale suisse, Bâle 2011, n. 10 ad art. 363). Une telle décision est susceptible au plan cantonal d'un recours au sens de l'art. 393 al. 1 let. b CPP (arrêt du Tribunal fédéral 6B_293/2012 du 21 février 2013 ; A. KUHN / Y. JEANNERET (éds), op. cit., n. 11 ad art 365 ; N. SCHMID, Schweizerische Strafprozessordnung : Praxiskommentar, Zurich 2009, n. 4 ad art. 365). La Chambre de céans est donc compétente pour traiter de ce recours.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Le recours a par ailleurs été déposé selon la forme et dans le délai prescrits (art. 91 al. 4, 385 al. 1 et 396 al. 1 CPP) et émane du condamné visé par la mesure institutionnelle, qui a qualité pour agir, ayant un intérêt juridiquement protégé à la modification ou à l'annulation de la décision querellée (art. 382 al. 1 CPP). Il est dès lors recevable.</w:t>
      </w:r>
    </w:p>
    <w:p>
      <w:r>
        <w:rPr>
          <w:b/>
        </w:rPr>
        <w:t>E. 2</w:t>
      </w:r>
    </w:p>
    <w:p>
      <w:r>
        <w:t>Le recourant fait grief au TAPEM de n'avoir pas ordonné sa libération conditionnelle de la mesure institutionnelle en milieu ouvert au besoin, cas échéant, au profit d'un suivi ambulatoire.</w:t>
      </w:r>
    </w:p>
    <w:p>
      <w:r>
        <w:rPr>
          <w:b/>
        </w:rPr>
        <w:t>E. 2.1</w:t>
      </w:r>
    </w:p>
    <w:p>
      <w:r>
        <w:t>Conformément à l'art. 62 al. 1 CP, l'auteur doit être libéré conditionnellement de l'exécution institutionnelle de la mesure dès que son état justifie qu'on lui donne l'occasion de faire ses preuves en liberté. La loi ne définit pas cette notion. Elle</w:t>
      </w:r>
    </w:p>
    <w:p>
      <w:r>
        <w:t>- 11/15 - PM/394/20198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p. 202 s.).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 203).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arrêt du Tribunal fédéral 6B_471/2012 du 21 janvier 2013 consid. 3.1 ).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arrêt du Tribunal fédéral 6B_457/2007 du 12 novembre 2007 consid. 5.2). Lors de l'examen du risque de récidive, il convient, en vertu du principe susvisé (art. 5 al. 2 et art. 36 al. 3 Cst.), de tenir compte de l'imminence et de la gravité du danger, ainsi que de la nature et de l'importance du bien juridique menacé (ATF 137 IV 201 consid. 1.2, concernant les mesures thérapeutiques institutionnelles ; ACPR/95/2014 consid. 3.1).</w:t>
      </w:r>
    </w:p>
    <w:p>
      <w:r>
        <w:rPr>
          <w:b/>
        </w:rPr>
        <w:t>E. 2.2</w:t>
      </w:r>
    </w:p>
    <w:p>
      <w:r>
        <w:t>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- 12/15 - PM/394/20198 La mesure peut être reconduite aussi souvent et aussi longtemps que son maintien s'avère nécessaire, approprié et proportionnel (art. 59 al. 4 CP; ATF 135 IV 139 consid. 2.1; ACPR/95/2014 du 11 février 2014). Dans ce cadre, elle ne connaît pas de limite maximale. Cette possibilité existe parce que les mesures thérapeutiques appliquées à des malades mentaux chroniques n'agissent souvent que très lentement (ATF 134 IV 315 consid. 3.4.1 ; ACPR/95/2014 précité). 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(art. 62 al. 1 CP a contrario ; ATF 135 IV 139 consid. 2.2.1 p. 141 ; arrêt du Tribunal fédéral 6B_778/2013 du 10 février 2014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1.1.). Ensuite, pour qu'un traitement institutionnel puisse être prolongé, son maintien doit permettre de détourner l'auteur de nouveaux crimes ou de nouveaux délits en relation avec son trouble (art. 59 al. 1 let. b CP ; ATF 135 IV 139 consid. 2.3.1 ; ATF 134 IV 315 consid. 3.4.1 ; arrêts du Tribunal fédéral 6B_778/2013 du 10 février 2014 consid. 2.3.1 et 6B_274/2012 du 31 août 2012 consid. 1.1.1). Au contraire de l'internement, qui consiste principalement à neutraliser l'auteur, la mesure thérapeutique institutionnelle vise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sa neutralisation, elle ne se différencierait plus de l'internement, mesure qui n'est admissible qu'aux conditions prévues à l'art. 64 CP.</w:t>
      </w:r>
    </w:p>
    <w:p>
      <w:r>
        <w:rPr>
          <w:b/>
        </w:rPr>
        <w:t>E. 2.3</w:t>
      </w:r>
    </w:p>
    <w:p>
      <w:r>
        <w:t>En l'espèce, le recourant qui a bénéficié, en juin 2014, de l'allègement de la mesure institutionnelle par le passage en milieu ouvert, n'a cependant pas pu, compte tenu de sa pathologie qui n'est pas en rémission, pleinement réaliser les phases de sorties accompagnées, en particulier celles des conduites à l'extérieur du domaine. En outre, faute d'avoir fait renouveler son permis C, le régime des congés n'a pas encore</w:t>
      </w:r>
    </w:p>
    <w:p>
      <w:r>
        <w:t>- 13/15 - PM/394/20198 pu être mis en place. Les objectifs du PEM ne sont en conséquence pas encore atteints. Il a été constaté par les médecins et experts que lorsque le recourant, qui souffre d'un grave trouble chronique et récurrent, présente une pathologie résistante au traitement pharmacologique, ne suit pas les mesures curatives de manière régulière et adaptée périodiquement, il présente des décompensations psychotiques, quasi permanentes. Cette constatation a conduit le dernier expert à considérer que sa schizophrénie paranoïde ne pouvait plus être retenue comme étant en rémission et retient un risque de récidive de moyen à élevé de commission d'actes délictueux hétéro-agressifs. Il fonde cette appréciation, certes en partie, sur une évaluation standardisée du patient mais tient également compte de l'évolution de ses troubles psychiques et du risque conséquent lié au fait qu'il soit confronté à des événements contextuels stressants et à une situation sociale difficile ainsi qu'à son opposition chronique aux soins. Ainsi, même si le recourant n'a pas récidivé à ce jour, l'expert préconise la prudence et un allègement progressif de la mesure, retenant la dangerosité liée à la pathologie psychotique décompensée, l'absence de conscience du caractère pathologique des troubles, le peu d'alliance thérapeutique et la mauvaise observance. La Chambre de céans retient, ainsi, l'existence d'un risque de récidive et fait sienne la prudence préconisée par l'expert. En effet, dans la mesure où le recourant n'a pas encore été confronté seul à des situations rencontrées l'extérieur et qu'il connaît des décompensations psychiatriques selon le contexte dans lequel il se trouve, l'on ne peut retenir que son état aurait connu une évolution ayant eu pour effet d'éliminer ou même réduire suffisamment le risque de commission de nouvelles infractions. Il ne se justifie ainsi pas de lui donner l'occasion, à ce stade, de faire ses preuves en liberté en lui accordant une libération conditionnelle. Cette décision respecte le principe de proportionnalité, l'atteinte aux droits de sa personnalité, consistant au maintien d'une mesure en milieu ouvert, apparaissant moindre que la vraisemblance de commission de nouvelles infractions contre l'intégrité d'autrui par le recourant dont l'état mental est fortement atteint. La mesure pouvait, en outre, être prolongée au-delà du délai de cinq ans, le traitement institutionnel devant lui permettre de franchir les diverses phases du PEM, le confronter avec l'extérieur et adapter le traitement pharmacologique à ses spécificités propres.</w:t>
      </w:r>
    </w:p>
    <w:p>
      <w:r>
        <w:rPr>
          <w:b/>
        </w:rPr>
        <w:t>E. 4</w:t>
      </w:r>
    </w:p>
    <w:p>
      <w:r>
        <w:t>Justifié, le jugement querellé sera donc confirmé.</w:t>
      </w:r>
    </w:p>
    <w:p>
      <w:r>
        <w:rPr>
          <w:b/>
        </w:rPr>
        <w:t>E. 5</w:t>
      </w:r>
    </w:p>
    <w:p>
      <w:r>
        <w:t>Le recourant, qui succombe, supportera les frais envers l'État, qui comprendront un émolument de CHF 900.- (art. 428 al. 1 CPP et 13 al. 1 du Règlement fixant le tarif des frais en matière pénale, RTFMP ; E 4 10.03).</w:t>
      </w:r>
    </w:p>
    <w:p>
      <w:r>
        <w:t>- 14/15 - PM/394/20198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