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ACPR/585/2025 vom 10. Juni 2025</w:t>
      </w:r>
    </w:p>
    <w:p>
      <w:r>
        <w:t>GE Cour de justice, 2025-06-10, FR</w:t>
      </w:r>
    </w:p>
    <w:p>
      <w:r>
        <w:rPr>
          <w:b/>
        </w:rPr>
        <w:t xml:space="preserve">Quelle: </w:t>
      </w:r>
      <w:r>
        <w:t>https://mcp.opencaselaw.ch/entscheid/ge_gerichte_ACPR_585_2025</w:t>
      </w:r>
    </w:p>
    <w:p>
      <w:r>
        <w:t>FR: GE_GERICHTE ACPR/585/2025 du 10 juin 2025</w:t>
      </w:r>
    </w:p>
    <w:p>
      <w:r>
        <w:t>IT: GE_GERICHTE ACPR/585/2025 del 10 giugno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w:t>
      </w:r>
    </w:p>
    <w:p>
      <w:r>
        <w:t>- 4/7 - P/13038/2025 sont encore inconnues des autorités (ATF 147 I 372 consid. 2.1; arrêt du Tribunal fédéral 7B_152/2023 du 2 juillet 2024 consid. 2.1.2).</w:t>
      </w:r>
    </w:p>
    <w:p>
      <w:r>
        <w:rPr>
          <w:b/>
        </w:rPr>
        <w:t>E. 2.3</w:t>
      </w:r>
    </w:p>
    <w:p>
      <w:r>
        <w:t>L'établissement d'un profil d'ADN, lorsqu'il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précité consid. 4.3; 1B_230/2022 du 7 septembre 2022 consid. 2.2).</w:t>
      </w:r>
    </w:p>
    <w:p>
      <w:r>
        <w:rPr>
          <w:b/>
        </w:rPr>
        <w:t>E. 2.4</w:t>
      </w:r>
    </w:p>
    <w:p>
      <w:r>
        <w:t>En l'espèce, l'établissement du profil d'ADN a été ordonné pour élucider, non pas les infractions en cours d'instruction, mais d'autres infractions contraires à la LStup, dès lors que le recourant avait déjà été soupçonné pour des faits similaires. À cet égard, il existe effectivement des indices sérieux et concrets de la commission, par le recourant, de tels actes punissables, quand bien même l'extrait de son casier judiciaire suisse ne fait état d'aucune condamnation entrée en force. Depuis son arrivée en Suisse en janvier 2025, A______ est connu des autorités suisses pour la vente de stupéfiants qui va de pair avec des reproches de séjours illégaux (cf. P/3______/2025). Aussi, d'autres infractions à la LStup ne sauraient être exclues, compte tenu de l'absence de tout revenu avéré connu au recourant. Ce dernier a expliqué qu'il venait régulièrement à Genève pour mendier ou encore qu'il s'adonnait à la vente de sacs, sans plus de précisions, ce qui laisse penser qu'il a pu se livrer à d'autres reprises à des actes contraires à la LStup, ce d'autant qu'il avait en sa possession, le 9 juin 2025, CHF 130.- sans rapport avec la situation personnelle alléguée. Ce contexte personnel laisse ainsi craindre un ancrage du recourant dans la délinquance liée aux stupéfiants et qu'il pourrait être impliqué dans d'autres infractions à la LStup, lesquelles pourraient lui être attribuées si l'on était en mesure de comparer son profil d'ADN à des traces prélevées sur les lieux de leur commission. Enfin, les infractions à la LStup susceptibles d'être élucidées revêtent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Partant, la mesure querellée n'apparaît pas illégale ni disproportionnée.</w:t>
      </w:r>
    </w:p>
    <w:p>
      <w:r>
        <w:t>- 5/7 - P/13038/2025 À titre superfétatoire, le recourant ne saurait tirer argument du fait que son profil d'ADN aurait d'ores et déjà été établi. Dès lors que les profils d'ADN sont soumis à effacement après un certain délai (cf. art. 16 de la Loi sur les profils d'ADN; RS 363), il existe un intérêt, quand bien même l'établissement de son profil d'ADN aurait déjà été ordonné et son effacement n'interviendrait pas avant de nombreuses années, à le soumettre derechef à cette mesure, pour autant bien évidemment que les conditions soient à nouveau réalisées, ce qui est le cas en l'espèce. Cet intérêt public prime celui – privé – du recourant à ce que son profil d'ADN ne soit pas établi une nouvelle fois. Ainsi, quand bien même le Ministère public aurait, dans de telles circonstances et comme le recourant le soutient, ordonné une nouvelle fois l'établissement de son profil d'ADN, un tel acte n'apparait nullement disproportionné.</w:t>
      </w:r>
    </w:p>
    <w:p>
      <w:r>
        <w:rPr>
          <w:b/>
        </w:rPr>
        <w:t>E. 3</w:t>
      </w:r>
    </w:p>
    <w:p>
      <w:r>
        <w:t>Justifiée, l'ordonnance querellée sera donc confirmée.</w:t>
      </w:r>
    </w:p>
    <w:p>
      <w:r>
        <w:rPr>
          <w:b/>
        </w:rPr>
        <w:t>E. 4</w:t>
      </w:r>
    </w:p>
    <w:p>
      <w:r>
        <w:t>Le recourant, qui succombe, supportera les frais envers l'État, qui comprendront un émolument de CHF 800.- (art. 428 al. 1 CPP et 13 al. 1 du Règlement fixant le tarif des frais en matière pénale, RTFMP ; E 4 10.03).</w:t>
      </w:r>
    </w:p>
    <w:p>
      <w:r>
        <w:rPr>
          <w:b/>
        </w:rPr>
        <w:t>E. 5</w:t>
      </w:r>
    </w:p>
    <w:p>
      <w:r>
        <w:t>Corrélativement, aucun dépens ne lui sera alloué (ATF 144 IV 207 consid. 1.8.2). * * * * *</w:t>
      </w:r>
    </w:p>
    <w:p>
      <w:r>
        <w:t>- 6/7 - P/13038/2025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