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ACPR/581/2025 vom 8. Mai 2025</w:t>
      </w:r>
    </w:p>
    <w:p>
      <w:r>
        <w:t>GE Cour de justice, 2025-05-08, FR</w:t>
      </w:r>
    </w:p>
    <w:p>
      <w:r>
        <w:rPr>
          <w:b/>
        </w:rPr>
        <w:t xml:space="preserve">Quelle: </w:t>
      </w:r>
      <w:r>
        <w:t>https://mcp.opencaselaw.ch/entscheid/ge_gerichte_ACPR_581_2025</w:t>
      </w:r>
    </w:p>
    <w:p>
      <w:r>
        <w:t>FR: GE_GERICHTE ACPR/581/2025 du 8 mai 2025</w:t>
      </w:r>
    </w:p>
    <w:p>
      <w:r>
        <w:t>IT: GE_GERICHTE ACPR/581/2025 del 8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 dans le cadre de la présente procédure.</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art. 197 al. 1 CPP; ATF 147 I 372 consid. 2.3.3).</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selon le Ministère public, l'établissement du profil d'ADN du recourant devrait être ordonné pour élucider des infractions passées. Cette autorité n'a toutefois pas pris le soin de compléter le champ prévu, dans l'ordonnance querellée, pour la motivation des antécédents et des soupçons pesant contre le prévenu; ce possible oubli n'a pas été réparé dans le cadre des observations sur le recours.</w:t>
      </w:r>
    </w:p>
    <w:p>
      <w:r>
        <w:t>- 4/5 - P/10246/2025 On peut, certes, supputer que l'autorité intimée se soit fondée sur les soupçons d'infraction à la LStup qui pèsent sur le recourant dans le cadre de la procédure P/1______/2024, dès lors qu'il s'agit de la seule, parmi toutes les infractions reprochées à l'intéressé, comprise dans la liste de celles susceptibles de justifier la mesure ordonnée (cf. Directive A.5 sur la gestion et la conservation des données signalétiques et des profils ADN, ch. 4.3). Toutefois, il n'appartient pas à l'autorité de recours de trouver a posteriori, une motivation pour des décisions prises par l'instance précédente (cf. ACPR/1000/2023 du 22 décembre 2023 consid. 4.4). Ensuite, l'état du dossier en main de la Chambre de céans ne permet pas de connaître la nature de ces soupçons à l'encontre du recourant, ni l'état (ou l'issue) de cette autre procédure. Ce manque d'information distingue déjà la présente cause des arrêts mentionnés par le Ministère public dans ses observations et n'est, de surcroît, que renforcé par l'absence de toute motivation de ce dernier. Partant, la Chambre de céans n'est pas à même de statuer sur le bien-fondé de l'ordonnance querellée et il ne lui appartient pas de trouver, a posteriori, une justification pour des décisions prises par l'instance précédente.</w:t>
      </w:r>
    </w:p>
    <w:p>
      <w:r>
        <w:rPr>
          <w:b/>
        </w:rPr>
        <w:t>E. 3</w:t>
      </w:r>
    </w:p>
    <w:p>
      <w:r>
        <w:t>Compte tenu de ce qui précède, l'ordonnance querellée sera annulée et la cause renvoyée au Ministère public pour qu'il rende une nouvelle décision motivée.</w:t>
      </w:r>
    </w:p>
    <w:p>
      <w:r>
        <w:rPr>
          <w:b/>
        </w:rPr>
        <w:t>E. 4</w:t>
      </w:r>
    </w:p>
    <w:p>
      <w:r>
        <w:t>Vu l'issue du litige, les frais de la cause seront laissés à la charge de l'État (art. 428 al. 1 CPP).</w:t>
      </w:r>
    </w:p>
    <w:p>
      <w:r>
        <w:rPr>
          <w:b/>
        </w:rPr>
        <w:t>E. 5</w:t>
      </w:r>
    </w:p>
    <w:p>
      <w:r>
        <w:t>Le recourant, prévenu qui obtient gain de cause, conclut à l'octroi de dépens, sans toutefois les chiffrer, ni les justifier. Tenue de statuer d'office (art. 429 al. 2 cum art. 436 al. 1 CPP), la Chambre de céans fixera, ex aequo et bono, l'indemnité due à CHF 300.- TTC, compte tenu de l'issue de la cause, dépourvue de complexité juridique, et du recours de quatre pages (page de garde et conclusions comprises). Ladite indemnité sera allouée à son conseil, conformément à l'art. 429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