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ACPR/581/2020 vom 31. Juli 2020</w:t>
      </w:r>
    </w:p>
    <w:p>
      <w:r>
        <w:t>GE Cour de justice, 2020-07-31, FR</w:t>
      </w:r>
    </w:p>
    <w:p>
      <w:r>
        <w:rPr>
          <w:b/>
        </w:rPr>
        <w:t xml:space="preserve">Quelle: </w:t>
      </w:r>
      <w:r>
        <w:t>https://mcp.opencaselaw.ch/entscheid/ge_gerichte_ACPR_581_2020</w:t>
      </w:r>
    </w:p>
    <w:p>
      <w:r>
        <w:t>FR: GE_GERICHTE ACPR/581/2020 du 31 juillet 2020</w:t>
      </w:r>
    </w:p>
    <w:p>
      <w:r>
        <w:t>IT: GE_GERICHTE ACPR/581/2020 del 31 luglio 2020</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ad art. 363).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et le délai prescrits (art. 90 al. 2, 385 al. 1, 390 al. 1 et 396 al. 1 CPP),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- 6/9 - PM/852/2020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La jurisprudence relative à l'art. 38 ch. 1 al. 1 aCP, sur le pronostic favorable, a conservé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S. TRECHSEL, op. cit., Zurich, 2008, n. 8-9 ad art. 86). Il convient par ailleurs d'examiner si le danger que représente le détenu au moment de sa libération augmenterait, diminuerait ou resterait inchangé en cas d'exécution complète de la peine (A. KUHN / L. MOREILLON / B. VIREDAZ / A. BISCHOFSKY, La nouvelle partie générale du Code pénal suisse, Berne, 2006, p. 361).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w:t>
      </w:r>
    </w:p>
    <w:p>
      <w:r>
        <w:rPr>
          <w:b/>
        </w:rPr>
        <w:t>E. 3.2</w:t>
      </w:r>
    </w:p>
    <w:p>
      <w:r>
        <w:t>En l'espèce, la condition objective d'une libération conditionnelle est réalisée depuis le 3 août 2020 et le préavis de la prison de C______ est favorable. Ce dernier, seul, ne suffit toutefois pas. Le SAPEM et le Ministère public s'opposent à la libération conditionnelle, pour des motifs qui n'apparaissent pas critiquables. Il apparaît en effet, comme relevé par le TAPEM, que le recourant a de nombreux antécédents et a déjà bénéficié d'une libération conditionnelle, en 2014, pour un solde de peine d'un an, 2 mois et 24 jours, qui s'est soldée par un échec, l'intéressé ayant récidivé durant le délai d'épreuve. A______ avait par ailleurs déjà été condamné à 7 reprises depuis 2011, dont 2 fois pour vol par métier et en bande, en 2013 et 2016, ces seules deux fois pour un total de 6 ans de peine privative de liberté, ce qui ne l'avait pas empêché de commettre de nouvelles infractions contre le patrimoine en</w:t>
      </w:r>
    </w:p>
    <w:p>
      <w:r>
        <w:t>- 7/9 - PM/852/2020 2019. Renvoyé à deux reprises au Kosovo, en 2014 et 2016, il était à chaque fois revenu en Suisse pour y commettre de nouvelles infractions. Le recourant n'en disconvient pas. Il explique toutefois n'avoir pas su saisir sa chance, étant trop jeune à l'époque. Il est permis d'en douter, vu le nombre d'infractions commises par la suite jusqu'en 2019. Sa volonté affichée de vouloir désormais s'établir au Kosovo pour reprendre la ferme familiale, quand bien même elle serait sérieuse, n'offre cependant pas de garanties suffisantes sous l'angle du risque de récidive. En effet, les fonds dont il dispose actuellement sont clairement insuffisants pour se lancer dans ce projet agricole et rien n'indique que D______ offrira son financement, le recourant ayant admis que celui-ci était conditionné à la réalité et la viabilité de son projet, qui ne sont donc pas certaines à ce stade. Le risque que le recourant se retrouve, une fois au Kosovo, dans la même situation financière précaire qu'auparavant et ne soit tenté de revenir en Suisse pour y commettre à nouveau des infractions reste donc très élevé. Au vu de ce qui précède, à l'instar du TAPEM, la Chambre de céans ne peut que constater que les conditions de l'art. 86 al. 1 CP ne sont pas réalisées, le pronostic étant défavorable quant au risque de récidive. La libération conditionnelle sera ainsi refusée.</w:t>
      </w:r>
    </w:p>
    <w:p>
      <w:r>
        <w:rPr>
          <w:b/>
        </w:rPr>
        <w:t>E. 4</w:t>
      </w:r>
    </w:p>
    <w:p>
      <w:r>
        <w:t>Justifié, le jugement querellé sera donc confirmé.</w:t>
      </w:r>
    </w:p>
    <w:p>
      <w:r>
        <w:rPr>
          <w:b/>
        </w:rPr>
        <w:t>E. 5</w:t>
      </w:r>
    </w:p>
    <w:p>
      <w:r>
        <w:t>Le recourant, qui succombe, supportera les frais envers l'État, qui comprendront un émolument de CHF 800.- (art. 428 al. 1 CPP et 13 al. 1 du Règlement fixant le tarif des frais en matière pénale, RTFMP ; E 4 10.03). * * * * *</w:t>
      </w:r>
    </w:p>
    <w:p>
      <w:r>
        <w:t>- 8/9 - PM/852/2020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