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ACPR/577/2024 vom 11. Juli 2024</w:t>
      </w:r>
    </w:p>
    <w:p>
      <w:r>
        <w:t>GE Cour de justice, 2024-07-11, FR</w:t>
      </w:r>
    </w:p>
    <w:p>
      <w:r>
        <w:rPr>
          <w:b/>
        </w:rPr>
        <w:t xml:space="preserve">Quelle: </w:t>
      </w:r>
      <w:r>
        <w:t>https://mcp.opencaselaw.ch/entscheid/ge_gerichte_ACPR_577_2024</w:t>
      </w:r>
    </w:p>
    <w:p>
      <w:r>
        <w:t>FR: GE_GERICHTE ACPR/577/2024 du 11 juillet 2024</w:t>
      </w:r>
    </w:p>
    <w:p>
      <w:r>
        <w:t>IT: GE_GERICHTE ACPR/577/2024 del 11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l'existence de charges suffisantes et graves, de sorte qu'il n'y a pas à s'attarder sur ce point, sauf à renvoyer aux développements du premier juge à ce sujet (art. 82 al. 4 CPP ; ACPR/18/2022 du 13 janvier 2022 consid. 2 et les références), qui expose les indices graves et concordants pesant sur lui.</w:t>
      </w:r>
    </w:p>
    <w:p>
      <w:r>
        <w:rPr>
          <w:b/>
        </w:rPr>
        <w:t>E. 3</w:t>
      </w:r>
    </w:p>
    <w:p>
      <w:r>
        <w:t>L'ordonnance querellée retient des risques de collusion et fuite pouvant être palliés par les mesures de substitution proposées par le prévenu, conclusion qui satisfait le recourant. Il n'y a donc pas lieu de revenir sur ce point.</w:t>
      </w:r>
    </w:p>
    <w:p>
      <w:r>
        <w:rPr>
          <w:b/>
        </w:rPr>
        <w:t>E. 4</w:t>
      </w:r>
    </w:p>
    <w:p>
      <w:r>
        <w:t>Le recourant conteste le risque de récidive retenu par l'ordonnance querellée.</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(cf.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 143 IV 9 consid. 2.5).</w:t>
      </w:r>
    </w:p>
    <w:p>
      <w:r>
        <w:t>- 9/14 - P/24528/2023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En l'espèce, le recourant a été condamné, en 2011, pour des actes – commis à deux reprises sur des victimes différentes, en 2007 et 2010 – similaires à ceux qui lui sont ici reprochés. Par la suite, malgré le traitement ambulatoire mis en place, il a commis des actes d'ordre sexuel, en 2017 et 2018, certes de moindre gravité puisqu'il s'est agi de deux contraventions (art. 198 CP), mais néanmoins à prendre en compte dans le cadre de l'examen du risque de réitération. Enfin, le recourant est ici fortement soupçonné d'avoir imposé à la plaignante, âgée de 17 ans, un acte sexuel complet, en profitant de ce qu'elle n'était pas capable de discernement ou de résistance. Les soupçons reposent sur des indices concrets et crédibles, ce que le recourant ne conteste d'ailleurs pas. À cela s'ajoute que l'expertise psychiatrique avait, en 2011, conclu à l'existence d'un risque de récidive d'infractions de nature sexuelle, risque qui s'est ici – en l'état – concrétisé au vu des soupçons sérieux qui pèsent sur le recourant. Partant, c'est à bon droit que le TMC a retenu un risque de réitération.</w:t>
      </w:r>
    </w:p>
    <w:p>
      <w:r>
        <w:rPr>
          <w:b/>
        </w:rPr>
        <w:t>E. 5</w:t>
      </w:r>
    </w:p>
    <w:p>
      <w:r>
        <w:t>Le recourant propose des mesures de substitution pour pallier le risque de réitération.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soumettre à un traitement médical ou à des contrôles (al. 2 let. f). La liste des mesures de substitution énoncée à l'art. 237 CPP n'est pas exhaustive (arrêt du Tribunal fédéral 1B_654/2011 du 7 décembre 2011 consid. 4.2).</w:t>
      </w:r>
    </w:p>
    <w:p>
      <w:r>
        <w:rPr>
          <w:b/>
        </w:rPr>
        <w:t>E. 5.2</w:t>
      </w:r>
    </w:p>
    <w:p>
      <w:r>
        <w:t>En l'espèce, lors de l'expertise du recourant, en 2011, l'expert avait conclu que le précité présentait une personnalité de type immature et que son comportement sexuel général était en lien avec son peu de maturité psychique, raison pour laquelle un risque de réitération d'actes de nature sexuelle a été posé, et un traitement ambulatoire, préconisé. Depuis lors, un diagnostic de schizophrénie a été posé, un traitement spécifique mis en place et une rente d'invalidité, obtenue ; le recourant a – jusqu'à une date non (encore) déterminée – consommé des stupéfiants, en particulier du cannabis et de la cocaïne ; et il a commis de nouveaux actes de nature sexuelle, comme cela a été discuté ci-dessus.</w:t>
      </w:r>
    </w:p>
    <w:p>
      <w:r>
        <w:t>- 10/14 - P/24528/2023 Dans ce contexte, et au vu du bien juridiquement protégé ici (l'intégrité sexuelle d'autrui, en particulier de mineures), il est nécessaire d'attendre que de nouveaux experts s'expriment sur le ou les éventuels troubles mental/aux dont souffrirait le recourant, sur l'incidence de l'absorption de drogue(s) sur son comportement et l'éventuel risque de réitération. Les mesures proposées par le recourant ne sont, en l'absence de ces diagnostic et évaluation, pas de nature à pallier le risque, en l'état trop élevé, de réitération. Sa demande de libération a donc été refusée à bon droit.</w:t>
      </w:r>
    </w:p>
    <w:p>
      <w:r>
        <w:rPr>
          <w:b/>
        </w:rPr>
        <w:t>E. 6</w:t>
      </w:r>
    </w:p>
    <w:p>
      <w:r>
        <w:t>Le recourant invoque une violation du principe de la célérité et, à bien le comprendre, de la proportionnalité.</w:t>
      </w:r>
    </w:p>
    <w:p>
      <w:r>
        <w:rPr>
          <w:b/>
        </w:rPr>
        <w:t>E. 6.1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arrêt du Tribunal fédéral 7B_43/2024 du 4 mars 2024 consid. 3.2.).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6.2</w:t>
      </w:r>
    </w:p>
    <w:p>
      <w:r>
        <w:t>À teneur des art. 197 al. 1 et 212 al. 3 CPP, les autorités pénales doivent respecter le principe de la proportionnalité lorsqu'elles appliquent des mesures de contrainte, afin que la détention provisoire ne dure pas plus longtemps que la peine</w:t>
      </w:r>
    </w:p>
    <w:p>
      <w:r>
        <w:t>- 11/14 - P/24528/2023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6.3</w:t>
      </w:r>
    </w:p>
    <w:p>
      <w:r>
        <w:t>En l'espèce, la Chambre de céans partage l'avis du TMC sur la longueur inaccoutumée et inadéquate, au regard de la détention du prévenu, des délais séparant certains actes d'instruction, en particulier les six mois employés pour mettre en œuvre l'expertise psychiatrique – annoncée à plusieurs reprises au prévenu et lors des demandes de prolongation de la détention –, acte qui ne nécessite pourtant pas une activité particulièrement soutenue. Il n'est pas non plus admissible de motiver plusieurs demandes de prolongation de la détention, à la suite, sur les mêmes actes d'instruction, sans même expliquer pour quels motifs ils n'ont pas pu être réalisés dans l'intervalle. Ce nonobstant, le prévenu ayant été arrêté fin novembre 2023 et l'audition de la partie plaignante ayant été retardée en raison de son état de santé, la conduite de l'instruction durant sept mois ne laisse, dans son ensemble, pas paraître de retard choquant, ni que le Ministère public ne serait plus en mesure de conduire la procédure à chef dans un délai raisonnable. De même, le principe de la proportionnalité n'est pas violé par la détention ordonnée à ce jour, au vu de la peine concrètement encourue, au regard des antécédents du prévenu, si les charges devaient être confirmées. Le Procureur chargé de l'instruction n'en est pas moins exhorté à procéder sans délai aux actes d'instruction annoncés, ainsi qu'à ceux suggérés par le prévenu qu'il entend accepter, afin qu'à réception du rapport d'expertise psychiatrique, l'instruction soit, pour le reste, menée à terme.</w:t>
      </w:r>
    </w:p>
    <w:p>
      <w:r>
        <w:rPr>
          <w:b/>
        </w:rPr>
        <w:t>E. 7</w:t>
      </w:r>
    </w:p>
    <w:p>
      <w:r>
        <w:t>Pour les raisons susmentionnées, le recours s'avère infondé et doit être rejeté.</w:t>
      </w:r>
    </w:p>
    <w:p>
      <w:r>
        <w:rPr>
          <w:b/>
        </w:rPr>
        <w:t>E. 8</w:t>
      </w:r>
    </w:p>
    <w:p>
      <w:r>
        <w:t>avril 2015 consid. 4.6 et 1B_203/2011 du 18 mai 2011 consid. 4).</w:t>
      </w:r>
    </w:p>
    <w:p>
      <w:r>
        <w:rPr>
          <w:b/>
        </w:rPr>
        <w:t>E. 9</w:t>
      </w:r>
    </w:p>
    <w:p>
      <w:r>
        <w:t>Le recourant plaide au bénéfice d'une défense d'office.</w:t>
      </w:r>
    </w:p>
    <w:p>
      <w:r>
        <w:t>- 12/14 - P/24528/2023</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l'exercice du présent recours ne procède pas d'un abus. L'indemnité du défenseur d'office sera fixée à la fin de la procédure (art. 135 al. 2 CPP). * * * * *</w:t>
      </w:r>
    </w:p>
    <w:p>
      <w:r>
        <w:t>- 13/14 - P/24528/2023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