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ACPR/577/2018 vom 10. September 2018</w:t>
      </w:r>
    </w:p>
    <w:p>
      <w:r>
        <w:t>GE Cour de justice, 2018-09-10, FR</w:t>
      </w:r>
    </w:p>
    <w:p>
      <w:r>
        <w:rPr>
          <w:b/>
        </w:rPr>
        <w:t xml:space="preserve">Quelle: </w:t>
      </w:r>
      <w:r>
        <w:t>https://mcp.opencaselaw.ch/entscheid/ge_gerichte_ACPR_577_2018</w:t>
      </w:r>
    </w:p>
    <w:p>
      <w:r>
        <w:t>FR: GE_GERICHTE ACPR/577/2018 du 10 septembre 2018</w:t>
      </w:r>
    </w:p>
    <w:p>
      <w:r>
        <w:t>IT: GE_GERICHTE ACPR/577/2018 del 10 settembre 2018</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90 al. 2, 385 al. 1, 390 al. 1 et 396 al. 1 CPP), par le condamné, qui a un intérêt juridiquement protégé à l'annulation ou à la modification de la décision attaquée (art. 382 al. 1 CPP).</w:t>
      </w:r>
    </w:p>
    <w:p>
      <w:r>
        <w:t>- 5/8 - PM/940/2018</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novembre 2000 consid. 2 = BJP 2003 348; 6A.34/2006 du 30 mai 2006 consid. 2.1;</w:t>
      </w:r>
    </w:p>
    <w:p>
      <w:r>
        <w:t>- 6/8 - PM/940/2018 ACPR/432/2018 du 7 août 2018 consid. 3.3.; A. BAECHTOLD, Exécution des peines : l'exécution des peines et mesures concernant les adultes en Suisse, Berne 2008, p. 269).</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Il est enfin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w:t>
      </w:r>
    </w:p>
    <w:p>
      <w:r>
        <w:rPr>
          <w:b/>
        </w:rPr>
        <w:t>E. 3.2</w:t>
      </w:r>
    </w:p>
    <w:p>
      <w:r>
        <w:t>En l'espèce, le recourant a subi les deux tiers de sa peine et son comportement en détention n'est pas particulièrement bon, puisqu'il a été sanctionné à une reprise. Or, si un comportement correct en détention constitue un élément favorable, il ne saurait, à lui seul, conduire à l'octroi d'une libération conditionnelle. Cela étant, les préavis du SAPEM et du Ministère public sont négatifs. Les motifs sur lesquels le TAPEM s'est fondé pour poser le pronostic défavorable n'apparaissent pas critiquables. Le recourant a été condamné à de très multiples reprises à des peines privatives de liberté, ce qui dénote un ancrage solide dans la délinquance. Lesdites condamnations ne l'ont aucunement dissuadé de récidiver, bien au contraire. En outre, il n'a pas su mettre à profit la libération conditionnelle qui lui a été octroyée en 2010, récidivant au mépris des décisions judiciaires et n'en tirant aucun enseignement. L'on ne voit ainsi pas en quoi les circonstances auraient aujourd'hui changé et garantiraient qu'il ne récidive pas, une nouvelle fois. Sa situation personnelle demeure inchangée et très précaire. Son projet de se rendre en France ou en Belgique, auprès d'amis, pour y travailler dans n'importe quel domaine, n'est aucunement étayé voire difficilement réalisable, dès lors qu'il est démuni de papiers d'identité et d'autorisation de séjour dans ces pays. Force est dès lors de constater qu'à sa sortie, il se retrouvera dans la même situation personnelle que celle ayant mené à ses dernières condamnations, à savoir en séjour illégal en Suisse, sans travail, ni logement. Le fait que le recourant s'obstine à ne pas vouloir retourner dans son pays d'origine renforce par ailleurs le risque de récidive. Le recourant ne fait pas grief au premier juge de n'avoir pas examiné si une libération conditionnelle aurait pu être prononcée moyennant la condition d'un renvoi de Suisse mais souhaiterait, cas échéant, qu'on le laisse quitter la Suisse pour aller où bon lui semble. Or, il n'appartient pas à la Chambre de céans de se substituer aux autorités administratives. On relèvera en outre qu'une occasion de quitter volontairement la Suisse a déjà été donnée au recourant mais qu'il n'a pas su la saisir. Il n'appartient enfin pas au recourant de décider en quel lieu sa détention doit se poursuivre.</w:t>
      </w:r>
    </w:p>
    <w:p>
      <w:r>
        <w:t>- 7/8 - PM/940/2018 Au vu de ce qui précède, à l'instar du TAPEM, la Chambre de céans ne peut que constater que les conditions de l'art. 86 al. 1 CP ne sont pas réalisées, le pronostic étant défavorable quant au risque de récidive. La libération conditionnelle sera ainsi refusée.</w:t>
      </w:r>
    </w:p>
    <w:p>
      <w:r>
        <w:rPr>
          <w:b/>
        </w:rPr>
        <w:t>E. 4</w:t>
      </w:r>
    </w:p>
    <w:p>
      <w:r>
        <w:t>Justifié, le jugement querellé sera donc confirmé.</w:t>
      </w:r>
    </w:p>
    <w:p>
      <w:r>
        <w:rPr>
          <w:b/>
        </w:rPr>
        <w:t>E. 5</w:t>
      </w:r>
    </w:p>
    <w:p>
      <w:r>
        <w:t>Le recourant, qui succombe, supportera les frais envers l'État, qui comprendront un émolument de CHF 700.-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