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ACPR/575/2024 vom 9. Juli 2024</w:t>
      </w:r>
    </w:p>
    <w:p>
      <w:r>
        <w:t>GE Cour de justice, 2024-07-09, FR</w:t>
      </w:r>
    </w:p>
    <w:p>
      <w:r>
        <w:rPr>
          <w:b/>
        </w:rPr>
        <w:t xml:space="preserve">Quelle: </w:t>
      </w:r>
      <w:r>
        <w:t>https://mcp.opencaselaw.ch/entscheid/ge_gerichte_ACPR_575_2024</w:t>
      </w:r>
    </w:p>
    <w:p>
      <w:r>
        <w:t>FR: GE_GERICHTE ACPR/575/2024 du 9 juillet 2024</w:t>
      </w:r>
    </w:p>
    <w:p>
      <w:r>
        <w:t>IT: GE_GERICHTE ACPR/575/2024 del 9 luglio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À teneur de l'art. 393 al. 1 let. a CPP, le recours est ouvert contre les décisions et les actes de procédure de la police, du ministère public et des autorités pénales compétentes en matière de contraventions. Cette disposition implique qu'une ordonnance de perquisition et de séquestre – qui constitue une mesure de contrainte au sens de l'art. 196 CPP – est, en principe, sujette à recours auprès de la Chambre de céans (cf. art. 198 al. 1 let. a CPP ; Y. JEANNERET / A. KUHN / C. PERRIER DEPEURSINGE (éds), Commentaire romand : Code de procédure pénale suisse, 2e éd., Bâle 2019, n. 33 ad art. 393). Cela étant, le recours n'est pas ouvert dans le cas où des mesures de contrainte débouchent sur une procédure d'apposition et de levée des scellés, celle-ci permettant à l'ayant droit d'invoquer ses objections, dont l'insuffisance de soupçons laissant présumer une infraction (art. 197 al. 1 let. b CPP), l'absence de pertinence des objets ou documents séquestrés pour la procédure pénale, la violation du principe de</w:t>
      </w:r>
    </w:p>
    <w:p>
      <w:r>
        <w:t>- 4/6 - P/20091/2020 proportionnalité (art. 197 al. 1 let. c CPP) ou l'illicéité de l'ordre de perquisition, puisqu'il n'est en principe pas admissible de pouvoir présenter au cours d'une procédure pénale des preuves obtenues de manière illicite (art. 139 et 141 CPP ; ATF 143 IV 270 consid. 6-7 ; arrêts du Tribunal fédéral 1B_550/2021 du 13 janvier 2022 consid. 3.1.2 ; 1B_275/2020 du 22 septembre 2020 consid. 3.1.2). En particulier, la contestation de la licéité d'un mandat de perquisition et de séquestre et les griefs relatifs à la violation du principe de proportionnalité (par exemple en cas de "fishing expedition") ou au comportement de la police dans le cadre de la perquisition (y compris le traitement et l'utilisation de données en violation des scellés) doivent être soulevés dans le cadre de la procédure de levée de scellés, qui "a le pas sur un éventuel recours formé contre ce mandat [de perquisition et de séquestre]" (arrêt du Tribunal fédéral 7B_253/2023 du 31 août 2023 consid. 3.2).</w:t>
      </w:r>
    </w:p>
    <w:p>
      <w:r>
        <w:rPr>
          <w:b/>
        </w:rPr>
        <w:t>E. 2.2</w:t>
      </w:r>
    </w:p>
    <w:p>
      <w:r>
        <w:t>En l'espèce, le recourant a demandé la mise sous scellés des deux téléphones portables et des données qui y sont contenues, ce qui a conduit à une procédure de levée de scellés, qui est toujours en cours. Dans ce cadre, il a pu faire valoir ses griefs tirés de la violation du principe de proportionnalité et de l'absence de pertinence des données séquestrées. Conformément à la jurisprudence susmentionnée, le recours contre l'ordonnance de perquisition et de séquestre n'est par conséquent pas ouvert.</w:t>
      </w:r>
    </w:p>
    <w:p>
      <w:r>
        <w:rPr>
          <w:b/>
        </w:rPr>
        <w:t>E. 3</w:t>
      </w:r>
    </w:p>
    <w:p>
      <w:r>
        <w:t>Au vu de ce qui précède, le recours doit être déclaré irrecevable.</w:t>
      </w:r>
    </w:p>
    <w:p>
      <w:r>
        <w:rPr>
          <w:b/>
        </w:rPr>
        <w:t>E. 4</w:t>
      </w:r>
    </w:p>
    <w:p>
      <w:r>
        <w:t>Le recourant,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5. Il sera statué sur l'indemnité du défenseur d'office à la fin de la procédure (art. 135 al. 2 CPP). * * * * *</w:t>
      </w:r>
    </w:p>
    <w:p>
      <w:r>
        <w:t>- 5/6 - P/20091/2020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