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ACPR/574/2020 vom 8. Juni 2020</w:t>
      </w:r>
    </w:p>
    <w:p>
      <w:r>
        <w:t>GE Cour de justice, 2020-06-08, FR</w:t>
      </w:r>
    </w:p>
    <w:p>
      <w:r>
        <w:rPr>
          <w:b/>
        </w:rPr>
        <w:t xml:space="preserve">Quelle: </w:t>
      </w:r>
      <w:r>
        <w:t>https://mcp.opencaselaw.ch/entscheid/ge_gerichte_ACPR_574_2020</w:t>
      </w:r>
    </w:p>
    <w:p>
      <w:r>
        <w:t>FR: GE_GERICHTE ACPR/574/2020 du 8 juin 2020</w:t>
      </w:r>
    </w:p>
    <w:p>
      <w:r>
        <w:t>IT: GE_GERICHTE ACPR/574/2020 del 8 giugno 2020</w:t>
      </w:r>
    </w:p>
    <w:p>
      <w:pPr>
        <w:pStyle w:val="Heading2"/>
      </w:pPr>
      <w:r>
        <w:t>Erwägungen</w:t>
      </w:r>
    </w:p>
    <w:p>
      <w:r>
        <w:rPr>
          <w:b/>
        </w:rPr>
        <w:t>E. 1</w:t>
      </w:r>
    </w:p>
    <w:p>
      <w:r>
        <w:t>Le recours est recevable pour avoir été déposé selon la forme et – les formalités de notification de la décision querellée n'ayant pas été observées (art. 85 al. 2 CPP)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(ATF 133 I 270 consid. 3.2.1).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(arrêts du Tribunal fédéral 1B_426/2012 du 3 août 2012 consid. 2.1; 1B_415/2012 du 25 juillet 2012 consid. 3 et les arrêts cités).</w:t>
      </w:r>
    </w:p>
    <w:p>
      <w:r>
        <w:t>- 7/10 - P/25461/2019 Durant la procédure d'instruction, l'autorisation de l'exécution anticipée des peines et des mesures ne peut être donnée que si la présence du prévenu n'est plus requise dans le contexte de la procédure, autrement dit, si l'instruction touche à sa fin (…). La direction de la procédure devra tenir compte du fait que le risque de collusion est plus difficile à écarter durant une exécution anticipée que pendant la détention provisoire (Message relatif à l'unification du droit de la procédure pénale du 21 décembre 2005, p. 1217 ad art. 235 [actuel article 236]).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 La poursuite de la détention sous la forme de l'exécution anticipée de la peine présuppose l'existence d'un motif de détention provisoire particulier, comme le risque de collusion. Ce motif de détention est en premier lieu justifié par les besoins de l'instruction en cours. Plus l'instruction est avancée et les faits établis avec précision, plus les exigences relatives à la preuve d'un risque de collusion sont élevées (cf. ATF 132 I 21 consid. 3.2 p. 23 et les références citées). Un risque de collusion justifiant un refus d'exécution anticipée de peine demeure lorsque le fonctionnement concret d'une bande n'a pas pu être établi (arrêts du Tribunal fédéral 1B_415/2012 du 25 juillet 2012 et 1B_107/2020 du 24 mars 2020) ou parce que le prévenu conteste avec véhémence les graves accusations portées contre lui, le risque de collusion demeurant ainsi jusqu'à l'audience de jugement, moment où les preuves essentielles et décisives doivent être administrées (arrêt du Tribunal fédéral 1B_400/2017 du 18 octobre 2017).</w:t>
      </w:r>
    </w:p>
    <w:p>
      <w:r>
        <w:rPr>
          <w:b/>
        </w:rPr>
        <w:t>E. 2.2</w:t>
      </w:r>
    </w:p>
    <w:p>
      <w:r>
        <w:t>En l'occurrence, le recourant soutient qu'il reconnait les faits, que l'instruction le concernant est terminée et qu'il n'existerait pas de risque de collusion permettant de s'opposer à sa demande. Il appert toutefois que, si le recourant a admis avoir participé au brigandage – étant relevé qu'il a été interpellé en flagrant délit –, sa version n'est pas dénuée de contradictions sur des points essentiels de l'infraction (notamment son implication dans la planification et l'exécution du "car-jacking") et semble contredite par les diverses investigations policières. De plus, bien que l'instruction soit effectivement terminée, le recourant ayant été renvoyé prochainement en jugement, il n'en demeure pas moins que le risque de collusion subsiste encore, comme l'a du reste relevé le TMC dans sa dernière ordonnance – laquelle n'a pas fait l'objet d'un recours –, tout d'abord entre les</w:t>
      </w:r>
    </w:p>
    <w:p>
      <w:r>
        <w:t>- 8/10 - P/25461/2019 prévenus, considérant les déclarations divergentes de ceux-ci sur bien des points s'agissant de la planification et de l'exécution du brigandage, notamment sur le rôle de G______, et ensuite avec les lésés, le recourant maintenant ne pas avoir pointé son arme sur qui que ce soit, contrairement aux déclarations des lésés, tentant par-là – à l'évidence – de minimiser ses actes et leur brutalité. Ainsi, vu la position du prévenu durant la procédure, il convient d'éviter que celui-ci et ses co-prévenus ne puissent se concerter et entraver la recherche de la vérité, cela jusqu'au jour des débats, ce d'autant que le recourant s'est rallié à la version de son cousin, en lien avec la détention de l'arme, après avoir entendu sa déclaration à ce sujet. Le fait que ses co-prévenus se trouvent eux aussi actuellement en détention pour des motifs de sûreté ne permet pas d'exclure un tel risque. Considérant en outre que, sous le régime de l'exécution de la peine, tant les conversations téléphoniques du prévenu que ses visites ne seraient plus contrôlées, le recourant pourrait être tenté d'amener un ou des tiers à faire pression sur les lésés ou d'autres témoins afin qu'ils aillent dans le sens de ses déclarations. Or, l'attitude du prévenu depuis la prison, loin de rassurer, est plutôt de nature à renforcer le risque sus-décrit. Partant, le risque de collusion, qui demeure très élevé même à ce stade de la procédure, fait obstacle à l'exécution anticipée de la peine.</w:t>
      </w:r>
    </w:p>
    <w:p>
      <w:r>
        <w:rPr>
          <w:b/>
        </w:rPr>
        <w:t>E. 3</w:t>
      </w:r>
    </w:p>
    <w:p>
      <w:r>
        <w:t>Justifiée, la décision querellée sera donc confirmée.</w:t>
      </w:r>
    </w:p>
    <w:p>
      <w:r>
        <w:rPr>
          <w:b/>
        </w:rPr>
        <w:t>E. 4</w:t>
      </w:r>
    </w:p>
    <w:p>
      <w:r>
        <w:t>Le recourant, qui succombe, supportera les frais envers l'État, fixés en totalité à</w:t>
      </w:r>
    </w:p>
    <w:p>
      <w:r>
        <w:t>CHF 900.- (art. 428 al. 1 CPP et 13 al. 1 du Règlement fixant le tarif des frais en</w:t>
      </w:r>
    </w:p>
    <w:p>
      <w:r>
        <w:t>matière pénale, RTFMP ; E 4 10.03), émolument de décision compris. * * * * *</w:t>
      </w:r>
    </w:p>
    <w:p>
      <w:r>
        <w:t>- 9/10 - P/25461/2019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