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ACPR/572/2018 vom 12. Juni 2018</w:t>
      </w:r>
    </w:p>
    <w:p>
      <w:r>
        <w:t>GE Cour de justice, 2018-06-12, FR</w:t>
      </w:r>
    </w:p>
    <w:p>
      <w:r>
        <w:rPr>
          <w:b/>
        </w:rPr>
        <w:t xml:space="preserve">Quelle: </w:t>
      </w:r>
      <w:r>
        <w:t>https://mcp.opencaselaw.ch/entscheid/ge_gerichte_ACPR_572_2018</w:t>
      </w:r>
    </w:p>
    <w:p>
      <w:r>
        <w:t>FR: GE_GERICHTE ACPR/572/2018 du 12 juin 2018</w:t>
      </w:r>
    </w:p>
    <w:p>
      <w:r>
        <w:t>IT: GE_GERICHTE ACPR/572/2018 del 12 giugno 2018</w:t>
      </w:r>
    </w:p>
    <w:p>
      <w:pPr>
        <w:pStyle w:val="Heading2"/>
      </w:pPr>
      <w:r>
        <w:t>Erwägungen</w:t>
      </w:r>
    </w:p>
    <w:p>
      <w:r>
        <w:rPr>
          <w:b/>
        </w:rPr>
        <w:t>E. 1</w:t>
      </w:r>
    </w:p>
    <w:p>
      <w:r>
        <w:t>Le recours a été déposé selon la forme et dans le délai prescrits (art. 385 al. 1 et 396 al. 1 CPP), concerne un point d'une ordonnance de classement sujette à recours auprès de la Chambre de céans (art. 393 al. 1 let. a CPP), soit la mise à sa charge des frais de la procédure, et émane du prévenu qui, partie à la procédure (art. 104 al. 1 let. a CPP), a qualité pour agir, ayant un intérêt juridiquement protégé à la modification ou à l'annulation de la décision querellée sur cet aspect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l'avoir condamné aux frais de la procédure.</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ATF 116 Ia 162 consid. 2c p. 168; arrêts du Tribunal fédéral 6B_957/2017 du 27 avril 2018 consid. 2.2 destiné à la publication; 6B_556/2017 du 15 mars 2018 consid. 2.1; 6B_301/2017 du 20 février 2018 consid. 1.1).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ATF 116 Ia 162 consid. 2c p. 168 ss). Le but est d'éviter que l'État doive assumer les frais d'une enquête ouverte en raison d'un comportement fautif d'un justiciable, ce qui serait insatisfaisant et même choquant (ATF 116 Ia 162 consid. 2d/bb p. 173). Le fardeau de la preuve incombe à l'État</w:t>
      </w:r>
    </w:p>
    <w:p>
      <w:r>
        <w:t>- 6/9 - P/4922/2014 (arrêt du Tribunal fédéral 6B_380/2016 du 16 novembre 2016 consid. 6 et les références).</w:t>
      </w:r>
    </w:p>
    <w:p>
      <w:r>
        <w:rPr>
          <w:b/>
        </w:rPr>
        <w:t>E. 3.2</w:t>
      </w:r>
    </w:p>
    <w:p>
      <w:r>
        <w:t>L'art. 426 al. 2 CPP exige non seulement que le prévenu ait adopté un comportement illicite ayant causé l'ouverture de la procédure pénale, mais également une faute. La notion de faute visée par l'art. 426 al. 2 CPP s'apprécie à la lumière d'une application par analogie de l'art. 41 CO (ATF 124 III 297 consid. 5b p. 301; 123 III 306 consid. 4a p. 312; arrêt du Tribunal fédéral 6B_156/2017 du 22 décembre 2017 consid. 5 et les références citées).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arrêts du Tribunal fédéral 6B_156/2017 du 22 décembre 2017 consid. 5; 6B_184/2013 du 1er octobre 2013 consid. 7.1). Le comportement fautif peut être une "faute procédurale", c'est-à-dire un comportement qui a compliqué ou prolongé la procédure, pour que les frais y relatifs puissent être mis à la charge du prévenu; il peut s'agir, par exemple, du défaut sans excuse de l'art. 205 al. 4 CPP ou du silence du prévenu, lorsqu'il est établi qu'il a obligé l'autorité à procéder à des investigations nombreuses et complexes, alors qu'il lui aurait été facile pour lui de se disculper (ATF 112 Ib 456 consid. 4 p. 511).</w:t>
      </w:r>
    </w:p>
    <w:p>
      <w:r>
        <w:rPr>
          <w:b/>
        </w:rPr>
        <w:t>E. 3.3</w:t>
      </w:r>
    </w:p>
    <w:p>
      <w:r>
        <w:t>En l'espèce, le recourant a été auditionné par la police française sur commission rogatoire, le 22 avril 2015, au sujet de l'excès de vitesse commis à Genève le 19 décembre 2013. Partant, il savait, dès ce moment, qu'il lui était reproché d'avoir commis cette infraction au volant du véhicule C______ immatriculé 1______. À l'issue de son audition, il s'est engagé à faire des recherches sur l'identité du réel conducteur et de transmettre directement tous documents utiles à l'autorité suisse compétente, dont les coordonnées lui avaient été fournies. Or, il n'en a rien fait. Ce n'est que par courrier du 29 décembre 2017 qu'il a communiqué au Ministère public l'identité du conducteur fautif. Force est ainsi d'admettre que le recourant n'a pas collaboré à l'instruction comme on aurait pu l'attendre de lui. Par son inaction, il a obligé le Ministère public à le placer sous avis de recherche et d'arrestation puis à le faire entendre une nouvelle fois par la police. Il a également dû ouvrir une instruction et lui a désigné un avocat d'office. L'ensemble de ces actes auraient été inutiles si le recourant avait fourni les éléments aptes à le disculper à l'issue de son audition par la police française – lesquels ne</w:t>
      </w:r>
    </w:p>
    <w:p>
      <w:r>
        <w:t>- 7/9 - P/4922/2014 nécessitaient aucune longue recherche, preuve en est qu'il n'a eu aucun mal à les transmettre au Ministère public à fin décembre 2017 –, comme il s'y était engagé. Dans ces circonstances, c'est à juste titre que le Ministère public a retenu que le prévenu, par son comportement fautif, avait rendu plus difficile la conduite de la procédure pénale.</w:t>
      </w:r>
    </w:p>
    <w:p>
      <w:r>
        <w:rPr>
          <w:b/>
        </w:rPr>
        <w:t>E. 4</w:t>
      </w:r>
    </w:p>
    <w:p>
      <w:r>
        <w:t>Justifié, le point critiqué de l'ordonnance querellée sera donc confirmé.</w:t>
      </w:r>
    </w:p>
    <w:p>
      <w:r>
        <w:rPr>
          <w:b/>
        </w:rPr>
        <w:t>E. 5</w:t>
      </w:r>
    </w:p>
    <w:p>
      <w:r>
        <w:t>Le recourant, qui succombe, supportera les frais envers l'État, qui comprendront un émolument de CHF 800.- (art. 428 al. 1 CPP et 13 al. 1 du Règlement fixant le tarif des frais en matière pénale, RTFMP; E 4 10.03; arrêt du Tribunal fédéral 1B_203/2011 du 18 mai 2011 consid. 4).</w:t>
      </w:r>
    </w:p>
    <w:p>
      <w:r>
        <w:rPr>
          <w:b/>
        </w:rPr>
        <w:t>E. 6.1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l'espèce, le conseil du recourant, non soumis à la TVA, a produit une note d'honoraires totalisant 150 minutes pour la rédaction du recours, auquel il a ajouté le forfait de 20% pour les courriers et téléphones, soit CHF 600.-. Bien que ses arguments soient rejetés, il se justifie de lui allouer le montant total réclamé, qui paraît raisonnable au regard de l'activité déployée. * * * * *</w:t>
      </w:r>
    </w:p>
    <w:p>
      <w:r>
        <w:t>- 8/9 - P/4922/2014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