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ACPR/571/2024 vom 8. März 2024</w:t>
      </w:r>
    </w:p>
    <w:p>
      <w:r>
        <w:t>GE Cour de justice, 2024-03-08, FR</w:t>
      </w:r>
    </w:p>
    <w:p>
      <w:r>
        <w:rPr>
          <w:b/>
        </w:rPr>
        <w:t xml:space="preserve">Quelle: </w:t>
      </w:r>
      <w:r>
        <w:t>https://mcp.opencaselaw.ch/entscheid/ge_gerichte_ACPR_571_2024</w:t>
      </w:r>
    </w:p>
    <w:p>
      <w:r>
        <w:t>FR: GE_GERICHTE ACPR/571/2024 du 8 mars 2024</w:t>
      </w:r>
    </w:p>
    <w:p>
      <w:r>
        <w:t>IT: GE_GERICHTE ACPR/571/2024 del 8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qu'il existe une prévention suffisante du chef d'infraction à l'art. 179septies CP.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w:t>
      </w:r>
    </w:p>
    <w:p>
      <w:r>
        <w:t>- 5/9 - P/6318/2024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Une ordonnance de non-entrée en matière doit également être rendue lorsqu'il existe des empêchements de procéder (art. 310 al. 1 let. b CPP), tels la prescription de l'action publique (ACPR/493/2021 consid. 3.1) ou lorsque le délai pour déposer plainte prévu par l'art. 31 CP n'a pas été respecté (arrêt du Tribunal fédéral 6B_848/2018 du 4 décembre 2018 consid. 1.5) 3.3.1. L'art. 179septies CP, dans sa version antérieure au 1er juillet 2023, prévoit que celui qui, par méchanceté ou par espièglerie, aura utilisé abusivement une installation de télécommunication pour inquiéter un tiers ou pour l'importuner sera, sur plainte, puni d'une amende. Cet article protège le droit de la personnalité des personnes concernées contre certaines atteintes (dérangements et désagréments) réalisées au moyen d’une installation de télécommunication. Le législateur voulait avant tout lutter contre des appels importuns nocturnes et contre des propos indécents au téléphone. D'une manière générale, l'utilisation est abusive lorsqu'il apparait que l'auteur n'a pas à l'esprit la communication d'informations ou de pensées, mais recourt à ce moyen d'entrer en contact avec autrui pour importuner ou inquiéter la personne appelée. Il appartient toutefois au juge d'apprécier cette notion (A. MACALUSO / L. MOREILLON / N. QUELOZ (éds), Commentaire romand, Code pénal II, vol. II, Partie spéciale : art. 111-392 CP, Bâle 2017, n. 3 ss ad art. 179septies). Les cas typiques sont les appels nocturnes (pour déranger dans le sommeil), les appels répétés (harcèlement), les bruits effrayants et les appels lors desquels l’auteur ne parle pas (A. MACALUSO / L. MOREILLON / N. QUELOZ (éds), op cit. n. 11 ad art. 179septies). Selon la jurisprudence (ATF 126 IV 216 consid. 2b/aa), les téléphones inquiétants et importuns doivent atteindre une certaine gravité minimale sur le plan quantitatif et/ou qualificatif, pour constituer une atteinte à la sphère personnelle de la victime punissable pénalement au sens de l’art. 179septies CP, conditions laissées à l’appréciation du juge (ATF 121 IV 131 consid. 5b). En cas d’atteintes légères ou moyennes à la sphère personnelle causées par l’usage du téléphone, la limite de la punissabilité abusive d’une installation de communication, dépend des circonstances du cas d’espèce et ne peut être déterminée de façon abstraite (arrêt du Tribunal fédéral 6B_1088/2015 du 6 juin 2016 consid. 2.1). Le champ d’application n’est pas restreint au seul cas des téléphones, mais également au fax, au courrier électronique ou au SMS (A. MACALUSO / L. MOREILLON / N.</w:t>
      </w:r>
    </w:p>
    <w:p>
      <w:r>
        <w:t>- 6/9 - P/6318/2024 QUELOZ (éds), Commentaire romand, Code pénal II, vol. II, Partie spéciale : art. 111-392 CP, Bâle 2017, n. 6 et 7 ad art. 179septies). L'art. 179septies CP est une infraction intentionnelle. L'auteur doit non seulement avoir conscience d'utiliser abusivement l'installation de télécommunications, mais également la volonté d'inquiéter ou d'importuner un tiers. 3.3.2. Depuis le 1er juillet 2023, l'art. 179septies CP punit d'une peine privative de liberté d'un an au plus ou d'une peine pécuniaire, sur plainte, quiconque utilise abusivement une installation de télécommunication pour inquiéter un tiers ou pour l’importuner. La peine encourue a été modifiée et les éléments subjectifs, soit la méchanceté et l'espièglerie, ont été supprimés (cf. Message concernant la loi fédérale sur l'harmonisation des peines et la loi fédérale sur l'adaptation du droit pénal accessoire au droit des sanctions modifié, FF 2018 2889 spéc. p. 2929).</w:t>
      </w:r>
    </w:p>
    <w:p>
      <w:r>
        <w:rPr>
          <w:b/>
        </w:rPr>
        <w:t>E. 3.4</w:t>
      </w:r>
    </w:p>
    <w:p>
      <w:r>
        <w:t>En l'espèce, les questions relatives à la prescription de l'action pénale et la tardiveté de la plainte, en lien avec la commission d'un éventuel délit continu, peuvent souffrir de demeurer indécises, compte tenu de ce qui suit. Le recourant reproche à la mise en cause de ne pas avoir modifié le système informatique afin d'éviter que des messages d'alerte lui soient transmis, dans un but chicanier. Or, hormis les convictions du recourant, aucun élément ne permet d'inférer que la mise en cause aurait eu pour volonté de l'inquiéter ou l'importuner. Tout d'abord, il est établi que le recourant avait installé le système de surveillance informatique, lequel générait automatiquement les messages d'alerte litigieux. Aucun élément au dossier ne permet de considérer que la mise en cause serait à l'origine desdits envois. À cela s'ajoute qu'à la suite de diverses relances du recourant, le directeur de B______ GROUP a confirmé au précité que "le nécessaire a[vait] déjà été fait", de sorte que des dispositions semblent avoir été prises pour que ces envois cessent. En tout état, au vu du contexte dans lequel les faits dénoncés se sont produits, à savoir la fin des rapports de travail avec le recourant, l'on ne discerne pas quel intérêt aurait la mise en cause à ce que les alertes en lien avec la surveillance des systèmes informatiques de ses sociétés soient transmises au recourant puisqu'il n'opère plus pour celles-ci.</w:t>
      </w:r>
    </w:p>
    <w:p>
      <w:r>
        <w:t>- 7/9 - P/6318/2024 Que la mise en cause ait eu des désaccords avec ses collaborateurs ou qu'elle ait rencontré des difficultés avec d'anciens employés ensuite de licenciements ne change rien à ce qui précède. Enfin, si à teneur des attestations médicales produites, la dégradation de l'état de santé du recourant semble être liée à sa situation professionnelle, il ne ressort pas de ces documents que ces problèmes découleraient des faits reprochés à la mise en cause ou que cette dernière en serait à l'origine, comme il le soutient. Pour le surplus, bien que l'on puisse concevoir que la réception de nombreux courriels ait pu troubler la tranquillité du recourant, il n'apparait pas que l'intention du législateur ait été de protéger une situation telle que décrite par ce dernier. Faute de réalisation des éléments constitutifs de l'infraction dénoncée, la décision de non-entrée en matière du Ministère public est donc justifiée. Aucun autre acte d'enquête ne parait dès lors propre à modifier les considérations qui précèdent. Le recourant n'en dit mot, d'ailleurs.</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- 8/9 - P/6318/2024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