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ACPR/56/2023 vom 29. Dezember 2022</w:t>
      </w:r>
    </w:p>
    <w:p>
      <w:r>
        <w:t>GE Cour de justice, 2022-12-29, FR</w:t>
      </w:r>
    </w:p>
    <w:p>
      <w:r>
        <w:rPr>
          <w:b/>
        </w:rPr>
        <w:t xml:space="preserve">Quelle: </w:t>
      </w:r>
      <w:r>
        <w:t>https://mcp.opencaselaw.ch/entscheid/ge_gerichte_ACPR_56_2023</w:t>
      </w:r>
    </w:p>
    <w:p>
      <w:r>
        <w:t>FR: GE_GERICHTE ACPR/56/2023 du 29 décembre 2022</w:t>
      </w:r>
    </w:p>
    <w:p>
      <w:r>
        <w:t>IT: GE_GERICHTE ACPR/56/2023 del 29 dicembre 2022</w:t>
      </w:r>
    </w:p>
    <w:p>
      <w:pPr>
        <w:pStyle w:val="Heading2"/>
      </w:pPr>
      <w:r>
        <w:t>Erwägungen</w:t>
      </w:r>
    </w:p>
    <w:p>
      <w:r>
        <w:rPr>
          <w:b/>
        </w:rPr>
        <w:t>E. 1</w:t>
      </w:r>
    </w:p>
    <w:p>
      <w:r>
        <w:t>Déposé devant l'autorité compétente contre une décision judiciaire ultérieure indépendante (cf. arrêt du Tribunal fédéral 1B_158/2013 du 25 avril 2013 consid. 2.1. ; A. KUHN / Y. JEANNERET (éds), Commentaire romand : Code de procédure pénale suisse, Bâle 2019, n. 30 ad art. 363) sujette à recours, dans les dix jours depuis la date du jugement querellé et selon la forme requise (art. 384 let. b, 385 al. 1, 390 al. 1 et 396 al. 1 CPP), par le condamné, qui dispose d'un intérêt juridiquement protégé à l'annulation ou à la modification de la décision attaquée (art. 382 al. 1 CPP),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et 4d; S. TRECHSEL, op. cit., Zurich, 2008, n. 8-9 ad art. 86).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w:t>
      </w:r>
    </w:p>
    <w:p>
      <w:r>
        <w:t>- 7/10 - PM/1370/2022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 arrêt du Tribunal fédéral 6B_103/2019 du 21 février 2019 consid. 2.1)</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3.2</w:t>
      </w:r>
    </w:p>
    <w:p>
      <w:r>
        <w:t>En l'espèce, la condition objective d'une libération conditionnelle est réalisée depuis le 4 janvier 2023 et le recourant bénéficie du préavis positif de l'établissement de détention, mais ces éléments ne suffisent toutefois pas, à eux seuls, à justifier l'octroi d'une libération conditionnelle, étant d'ailleurs relevé que le préavis du SAPEM est, quant à lui, négatif.</w:t>
      </w:r>
    </w:p>
    <w:p>
      <w:r>
        <w:t>Le recourant a déjà bénéficié de deux libérations conditionnelles. Après la première, en 2013, il a récidivé trois ans plus tard, en 2016, puis en 2018, par des infractions graves à la LCR. Après sa seconde libération, en juillet 2019, il a commis, premièrement, le 1er juin 2020 – soit dans l'année qui a suivi sa sortie –, les menaces et violation de domicile dont il purge actuellement la peine ; deuxièmement, le brigandage – reconnu – pour lequel il est poursuivi dans le canton de Vaud ; et, troisièmement, en avril 2022 – soit après sa libération de détention provisoire en juillet 2021 – la violation à l'art. 119 LEI dont il purge actuellement la peine.</w:t>
      </w:r>
    </w:p>
    <w:p>
      <w:r>
        <w:t>Il s'ensuit que, même si le recourant n'a pas commis, comme il le souligne, de nouvelle infraction à la LCR après sa dernière libération conditionnelle, il a commis d'autres type infractions, dénotant en outre une certaine propension à la violence (menaces et brigandage). Il n'a ainsi nullement su tirer profit des libérations conditionnelles passées pour s'amender. Qu'il remette en question la procédure ayant conduit à sa condamnation par ordonnance pénale du 25 septembre 2020 n'a aucune portée ici, cette condamnation étant définitive.</w:t>
      </w:r>
    </w:p>
    <w:p>
      <w:r>
        <w:t>Les projets d'avenir du recourant et l'encadrement familial dont il dispose sont identiques à ceux présents au moment de sa précédente libération conditionnelle, en 2019, qui ne l'ont pas empêché de commettre de nouvelles infractions. C'est ainsi à bon droit que TAPEM a retenu un pronostic défavorable, et les critères retenus et appliqués par le juge précédent sont pertinents. Partant, les conditions d'une libération conditionnelle ne sont pas réalisées.</w:t>
      </w:r>
    </w:p>
    <w:p>
      <w:r>
        <w:rPr>
          <w:b/>
        </w:rPr>
        <w:t>E. 4</w:t>
      </w:r>
    </w:p>
    <w:p>
      <w:r>
        <w:t>Infondé, le recours sera dès lors rejeté.</w:t>
      </w:r>
    </w:p>
    <w:p>
      <w:r>
        <w:t>- 8/10 - PM/1370/2022</w:t>
      </w:r>
    </w:p>
    <w:p>
      <w:r>
        <w:rPr>
          <w:b/>
        </w:rPr>
        <w:t>E. 5</w:t>
      </w:r>
    </w:p>
    <w:p>
      <w:r>
        <w:t>Le recourant, qui succombe, supportera les frais envers l'État, fixés en totalité à CHF 400.- (art. 428 al. 1 CPP et 13 al. 1 du Règlement fixant le tarif des frais en matière pénale, RTFMP ; E 4 10.03). * * * * *</w:t>
      </w:r>
    </w:p>
    <w:p>
      <w:r>
        <w:t>- 9/10 - PM/1370/2022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