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ACPR/569/2023 vom 16. Februar 2023</w:t>
      </w:r>
    </w:p>
    <w:p>
      <w:r>
        <w:t>GE Cour de justice, 2023-02-16, FR</w:t>
      </w:r>
    </w:p>
    <w:p>
      <w:r>
        <w:rPr>
          <w:b/>
        </w:rPr>
        <w:t xml:space="preserve">Quelle: </w:t>
      </w:r>
      <w:r>
        <w:t>https://mcp.opencaselaw.ch/entscheid/ge_gerichte_ACPR_569_2023</w:t>
      </w:r>
    </w:p>
    <w:p>
      <w:r>
        <w:t>FR: GE_GERICHTE ACPR/569/2023 du 16 février 2023</w:t>
      </w:r>
    </w:p>
    <w:p>
      <w:r>
        <w:t>IT: GE_GERICHTE ACPR/569/2023 del 16 febbraio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ne remet pas en cause l'ordonnance querellée en tant qu'elle concerne la non-entrée en matière sur l'infraction d'abus de confiance, de sorte que ladite ordonnance est définitive sur cet aspect (art. 385 al. 1 let. a CPP).</w:t>
      </w:r>
    </w:p>
    <w:p>
      <w:r>
        <w:rPr>
          <w:b/>
        </w:rPr>
        <w:t>E. 3</w:t>
      </w:r>
    </w:p>
    <w:p>
      <w:r>
        <w:t>Le recourant reproche au Ministère public de n'être pas entré en matière sur sa plainte en tant qu'elle a trait à l'infraction d'escroquerie.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3.2</w:t>
      </w:r>
    </w:p>
    <w:p>
      <w:r>
        <w:t>À teneur de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- 5/8 - P/21337/2022 L'escroquerie suppose notamment l'existence d'un dommage, soit une lésion du patrimoine sous la forme d'une diminution de l'actif, d'une augmentation du passif, d'une non-augmentation de l'actif ou d'une non-diminution du passif. Elle suppose également un acte de disposition, constitué de tout acte ou omission qui entraîne directement un préjudice (M. DUPUIS / L. MOREILLON/ C. PIGUET / S. BERGER/ M. MAZOU/ V. RODIGARI (éds), Petit commentaire du CP, Bâle 2017, n. 23 et n. 27 ad art. 146 CP). Par ailleurs,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L'astuce n'est toutefois pas réalisée si la dupe pouvait se protéger avec un minimum d'attention ou éviter l'erreur avec le minimum de prudence que l'on pouvait attendre d'elle (ATF 135 IV 76 consid. 5.2).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 arrêts du Tribunal fédéral 6B_1141/2017 du 7 juin 2018 consid. 1.2.2 ; 6B_446/2018 du 17 juillet 2018 consid. 2.1).</w:t>
      </w:r>
    </w:p>
    <w:p>
      <w:r>
        <w:rPr>
          <w:b/>
        </w:rPr>
        <w:t>E. 3.3</w:t>
      </w:r>
    </w:p>
    <w:p>
      <w:r>
        <w:t>En l'espèce, le recourant soutient que le mis en cause l'a trompé sur son intention de le payer et l'a ainsi incité à renoncer à son droit de rétention sur le véhicule.</w:t>
      </w:r>
    </w:p>
    <w:p>
      <w:r>
        <w:t>- 6/8 - P/21337/2022 Il ne peut être suivi. Aucun élément ne permet de retenir que le mis en cause avait l'intention, dès le départ, de ne pas payer les travaux commandés. Au contraire, il a versé deux acomptes successifs, d'un montant de CHF 1'700.- au total. Or, si le recourant, qui est un professionnel, soutient qu'il ne pouvait lui-même pas évaluer le montant total des réparations, il en va a fortiori du mis en cause, dont la surprise à la lecture du montant de la facture finale des réparations paraît crédible. Celui-ci a d'ailleurs contesté, par courrier recommandé, le solde réclamé et a étayé sa position par l'écart de la facture par rapport au devis discuté. Le caractère litigieux de ce dernier n'est pas déterminant, dès lors qu'un différend concernant l'adéquation d'une facture finale à un éventuel devis oral ne relève pas du droit pénal. S'agissant de l'éventuel droit de rétention, le mis en cause avait informé le recourant, lorsqu'il a récupéré son véhicule, n'avoir pas encore payé la facture reçue. Malgré cela, celui-ci a laissé son client partir avec le motocycle. Dans de telles circonstances, rien ne permet de retenir l'existence d'une tromperie astucieuse, même à retenir la version du recourant qui affirme avoir reçu l'assurance que le solde serait payé en espèces dans le courant de la journée. Pour ce motif déjà, un élément constitutif de l'infraction d'escroquerie fait défaut.</w:t>
      </w:r>
    </w:p>
    <w:p>
      <w:r>
        <w:rPr>
          <w:b/>
        </w:rPr>
        <w:t>E. 4</w:t>
      </w:r>
    </w:p>
    <w:p>
      <w:r>
        <w:t>Justifiée, l'ordonnance querellée sera donc confirmée.</w:t>
      </w:r>
    </w:p>
    <w:p>
      <w:r>
        <w:rPr>
          <w:b/>
        </w:rPr>
        <w:t>E. 5</w:t>
      </w:r>
    </w:p>
    <w:p>
      <w:r>
        <w:t>Le recourant, qui succombe, supportera les frais envers l'État, qui seront fixés à CHF 900.- pour l'instance de recours (art. 428 al. 1 CPP et 13 al. 1 du Règlement fixant le tarif des frais en matière pénale, RTFMP ; E 4 10.03).</w:t>
      </w:r>
    </w:p>
    <w:p>
      <w:r>
        <w:t>- 7/8 - P/21337/2022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