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ACPR/569/2018 vom 22. Juni 2018</w:t>
      </w:r>
    </w:p>
    <w:p>
      <w:r>
        <w:t>GE Cour de justice, 2018-06-22, FR</w:t>
      </w:r>
    </w:p>
    <w:p>
      <w:r>
        <w:rPr>
          <w:b/>
        </w:rPr>
        <w:t xml:space="preserve">Quelle: </w:t>
      </w:r>
      <w:r>
        <w:t>https://mcp.opencaselaw.ch/entscheid/ge_gerichte_ACPR_569_2018</w:t>
      </w:r>
    </w:p>
    <w:p>
      <w:r>
        <w:t>FR: GE_GERICHTE ACPR/569/2018 du 22 juin 2018</w:t>
      </w:r>
    </w:p>
    <w:p>
      <w:r>
        <w:t>IT: GE_GERICHTE ACPR/569/2018 del 22 giugno 2018</w:t>
      </w:r>
    </w:p>
    <w:p>
      <w:pPr>
        <w:pStyle w:val="Heading2"/>
      </w:pPr>
      <w:r>
        <w:t>Erwägungen</w:t>
      </w:r>
    </w:p>
    <w:p>
      <w:r>
        <w:rPr>
          <w:b/>
        </w:rPr>
        <w:t>E. 1</w:t>
      </w:r>
    </w:p>
    <w:p>
      <w:r>
        <w:t>Le recours formé contre l'ordonnance querellée a été déposé selon la forme et dans le délai prescrits (art. 385 al. 1 et 396 al. 1 CPP), faute de notification conforme à l'art. 85 al. 2 CPP. Il concerne une ordonnance sujette à recours (art. 393 al. 1 let. a CPP), sur une question relevant de la compétence du Ministère public, en sa qualité d'autorité en charge de la procédure (art. 62 al. 1 CPP; ACPR/586/2015 et les références citées, en particulier les ATF 141 IV 257 consid. 2.2 p. 261 et 138 II 162 consid. 2.5.1 p. 167).</w:t>
      </w:r>
    </w:p>
    <w:p>
      <w:r>
        <w:t>- 6/11 - P/857/2017 Tant le prévenu (art. 104 al. 1 let. a CPP) que l'avocat visé par l'ordonnance querellée ont la qualité pour recourir, ayant un intérêt juridiquement protégé à la modification ou à l'annulation de la décision querellée (art. 382 al. 1 CPP), le Tribunal fédéral ayant précisé à cet égard que les dispositions en cause, en particulier l'art. 12 de la Loi fédérale sur la libre circulation des avocats (ci-après LLCA - RS 935.61) visaient à assurer l'exercice correct de la profession d'avocat, le mandataire étant, à ce titre, directement concerné par l'objet de la contestation (ATF 138 II 162 consid. 2.2 p. 165; 135 II 145 consid. 6.2 p. 152; arrêts du Tribunal fédéral 4D_58/2014 du 17 octobre 2014 consid. 1.3 et 1B_358/2014 du 12 décembre 2014 consid. 2). Le recours est donc recevable.</w:t>
      </w:r>
    </w:p>
    <w:p>
      <w:r>
        <w:rPr>
          <w:b/>
        </w:rPr>
        <w:t>E. 2</w:t>
      </w:r>
    </w:p>
    <w:p>
      <w:r>
        <w:t>Les recourants se plaignent d'une violation de leur droit d'être entendus.</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2.2</w:t>
      </w:r>
    </w:p>
    <w:p>
      <w:r>
        <w:t>En l'espèce, les recourants ont appris, lors de l'audience du 22 juin 2018, l'existence du conflit d'intérêts litigieux. Ils ont eu l'occasion de s'exprimer sur-le- champ sur cette problématique. En outre, ils ont pu faire valoir en détail leur position dans leur recours devant la Chambre de céans, qui dispose d'un plein pouvoir d'examen, en fait et en droit (art. 389 et 391 CPP). Il s'ensuit que l'éventuelle atteinte aux droits procéduraux des recourants, si tant est qu'elle fût réalisée, n'aurait pas été particulièrement grave et aurait été réparée dans la procédure de recours. Le grief est dès lors infondé.</w:t>
      </w:r>
    </w:p>
    <w:p>
      <w:r>
        <w:t>- 7/11 - P/857/2017</w:t>
      </w:r>
    </w:p>
    <w:p>
      <w:r>
        <w:rPr>
          <w:b/>
        </w:rPr>
        <w:t>E. 3</w:t>
      </w:r>
    </w:p>
    <w:p>
      <w:r>
        <w:t>Les recourants contestent l'existence d'un conflit d'intérêts justifiant une interdiction de postuler.</w:t>
      </w:r>
    </w:p>
    <w:p>
      <w:r>
        <w:rPr>
          <w:b/>
        </w:rPr>
        <w:t>E. 3.1</w:t>
      </w:r>
    </w:p>
    <w:p>
      <w:r>
        <w:t>La défense des prévenus étant réservée aux avocats (art. 127 al. 5 CPP), les règles à respecter en l'espèce sont celles qui ressortent de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Les règles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du Tribunal fédéral 1B_376/2013 du 18 novembre 2013 consid. 3). L'exigence du caractère concret du conflit d'intérêts implique l'examen du risque dans le cas d'espèce, par opposition à un raisonnement dans l'abstrait reposant sur des critères purement théoriques. Le simple fait que le nom d'une partie figure dans un dossier ne suffit pas à retenir un conflit d'intérêts. Il doit être démontré concrètement en quoi la situation aboutit à un tel conflit (ATF 135 II 145 consid. 9.1 et 9.2). En présence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(arrêts du Tribunal fédéral 2C_688/2009 du 25 mars 2010 consid. 3.1, in SJ 2010 I p. 433 ; 2C_427/2009 du 25 mars 2010 consid. 2.2 et 3.2; cf. aussi ATF 134 II 108 consid. 4 p. 111 ss).</w:t>
      </w:r>
    </w:p>
    <w:p>
      <w:r>
        <w:rPr>
          <w:b/>
        </w:rPr>
        <w:t>E. 3.2</w:t>
      </w:r>
    </w:p>
    <w:p>
      <w:r>
        <w:t>Celui qui, en violation des obligations énoncées à l'art. 12 LLCA, accepte ou poursuit la défense d'intérêts contradictoires doit se voir dénier par l'autorité la capacité de postuler (ATF 138 II 162 p. 167). L'autorité en charge de la procédure statue d'office et en tout temps sur la capacité de postuler d'un mandataire professionnel (ATF 141 IV 257 consid. 2.2 p. 261 ; arrêt du Tribunal fédéral 1B_149/2013 du 5 septembre 2013 consid. 2.4.2 in fine).</w:t>
      </w:r>
    </w:p>
    <w:p>
      <w:r>
        <w:t>- 8/11 - P/857/2017</w:t>
      </w:r>
    </w:p>
    <w:p>
      <w:r>
        <w:rPr>
          <w:b/>
        </w:rPr>
        <w:t>E. 3.3</w:t>
      </w:r>
    </w:p>
    <w:p>
      <w:r>
        <w:t>En l'espèce, A______ et E______ sont tous deux prévenus dans la même procédure. L'avocat recourant s'est constitué le 20 juin 2018 pour la défense des intérêts de A______. À cette date, il n'était plus, depuis le 28 février 2018, l'associé de Me F______, qui a été nommé d'office le 27 mars 2018 pour assurer la défense de E______. Quant à Me G______, qui a excusé Me F______ à l'audience du 4 avril 2018, il avait également quitté les locaux de l'étude depuis le 30 avril 2018. On ne voit dès lors pas, compte tenu de cette chronologie, quel conflit d'intérêts il pouvait encore concrètement exister le 20 juin 2018, lorsque l'avocat recourant s'est constitué en faveur de A______. En soulevant la problématique, le 22 juin 2018, Me F______ a soutenu que le serveur informatique de l'étude contenait encore des documents relatifs à la présente procédure pénale, ce que le Ministère public n'a toutefois pas repris dans l'ordonnance querellée. Au demeurant, les recourants ont à tout le moins rendu vraisemblable, par l'attestation de l'informaticien, qu'aucun dossier avec un nom se rapprochant de E______ n'avait jamais été créé sur le serveur, ce qui paraît plausible puisqu'à la date de la nomination d'office de Me F______, le 27 mars 2018, ce dernier avait quitté l'étude du recourant depuis un mois. Le Ministère public a donc fondé sa décision – et a maintenu ce motif dans ses observations sur le recours – sur le fait que les deux avocats avaient partagé les locaux et l'infrastructure commune "pendant que" Me F______ et Me G______ représentaient les intérêts de E______ et que B______ avait par le passé représenté les intérêts de A______. Or, la première affirmation ne correspond pas à la chronologie du dossier, puisque Me F______ et B______ ont été, respectivement, nommé d'office et constitué après la fin de leur association et après le départ de Me F______ des locaux de l'étude. Que Me G______ ait encore occupé ces locaux quelques semaines, jusqu'au 30 avril 2018, ne joue aucun rôle dès lors que B______ ne s'est constitué dans la présente cause que le 20 juin 2018. Les deux avocats n'ont donc pas partagé les locaux et les infrastructures alors qu'ils défendaient les intérêts de leurs clients respectifs dans la présente procédure. S'agissant de la deuxième affirmation, B______ affirme, certes – sans au demeurant le prouver –, qu'il représente A______ et sa famille depuis une douzaine d'années. On ne voit toutefois pas en quoi l'existence de cet éventuel mandat préexistant aurait créé un conflit d'intérêts en défaveur de A______, le 20 juin 2018, alors que l'avocat de son co-prévenu avait quitté l'étude de son conseil depuis quatre mois. Il n'existait pas de risque que B______ puisse utiliser des connaissances de la partie adverse</w:t>
      </w:r>
    </w:p>
    <w:p>
      <w:r>
        <w:t>- 9/11 - P/857/2017 acquises alors qu'il était associé avec Me F______, puisque leur association avait pris fin avant que ce dernier ne soit nommé d'office dans la présente procédure. Il résulte de ce qui précède que le Ministère public a prononcé à tort, contre B______, l'interdiction de postuler.</w:t>
      </w:r>
    </w:p>
    <w:p>
      <w:r>
        <w:rPr>
          <w:b/>
        </w:rPr>
        <w:t>E. 4</w:t>
      </w:r>
    </w:p>
    <w:p>
      <w:r>
        <w:t>Fondé, le recours doit être admis ; partant, l'ordonnance querellée sera annulée.</w:t>
      </w:r>
    </w:p>
    <w:p>
      <w:r>
        <w:rPr>
          <w:b/>
        </w:rPr>
        <w:t>E. 5</w:t>
      </w:r>
    </w:p>
    <w:p>
      <w:r>
        <w:t>L'admission du recours ne donne pas lieu à la perception de frais (art. 428 al. 1 CPP).</w:t>
      </w:r>
    </w:p>
    <w:p>
      <w:r>
        <w:rPr>
          <w:b/>
        </w:rPr>
        <w:t>E. 6</w:t>
      </w:r>
    </w:p>
    <w:p>
      <w:r>
        <w:t>Les recourants ont demandé l'octroi d'une équitable indemnité.</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(ATF 138 IV 205 consid. 1). L'avocat recourant a également droit à une indemnité, par analogie avec la jurisprudence applicable au défenseur d'office qui conteste avec succès une décision d'indemnisation (ATF 125 II 518 consid. 5 p. 520; arrêt du Tribunal fédéral 6B_439/2012 du 2 octobre 2012 consid. 2).</w:t>
      </w:r>
    </w:p>
    <w:p>
      <w:r>
        <w:rPr>
          <w:b/>
        </w:rPr>
        <w:t>E. 6.2</w:t>
      </w:r>
    </w:p>
    <w:p>
      <w:r>
        <w:t>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6.3</w:t>
      </w:r>
    </w:p>
    <w:p>
      <w:r>
        <w:t>En l'occurrence, les recourants ont déposé un seul acte de recours, qu'ils ont co- signé, de sorte qu'une indemnité unique sera versée et allouée au conseil juridique (M. NIGGLI /M. HEER /H. WIPRÄCHTIGER, Schweizerische Strafprozessordnung /Schweizerische Jugendstrafprozessordnung, Basler Kommentar StPO/JStPO, Bâle 2014, n. 21 ad art. 429).</w:t>
      </w:r>
    </w:p>
    <w:p>
      <w:r>
        <w:t>- 10/11 - P/857/2017 Portant sur 14 pages, le recours contient 4 pages de discussion juridique. Au vu de l'absence de complexité juridique du litige, l'équitable indemnité sera fixée à CHF 1'200.- (TVA à 7.7% incluse). * * * * *</w:t>
      </w:r>
    </w:p>
    <w:p>
      <w:r>
        <w:t>- 11/11 - P/857/2017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