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ACPR/567/2022 vom 19. Juli 2022</w:t>
      </w:r>
    </w:p>
    <w:p>
      <w:r>
        <w:t>GE Cour de justice, 2022-07-19, FR</w:t>
      </w:r>
    </w:p>
    <w:p>
      <w:r>
        <w:rPr>
          <w:b/>
        </w:rPr>
        <w:t xml:space="preserve">Quelle: </w:t>
      </w:r>
      <w:r>
        <w:t>https://mcp.opencaselaw.ch/entscheid/ge_gerichte_ACPR_567_2022</w:t>
      </w:r>
    </w:p>
    <w:p>
      <w:r>
        <w:t>FR: GE_GERICHTE ACPR/567/2022 du 19 juillet 2022</w:t>
      </w:r>
    </w:p>
    <w:p>
      <w:r>
        <w:t>IT: GE_GERICHTE ACPR/567/2022 del 19 luglio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la relation de confiance avec son avocat est rompue et qu'un autre défenseur d'office devrait lui être désigné.</w:t>
      </w:r>
    </w:p>
    <w:p>
      <w:r>
        <w:t>- 4/7 - P/10916/2020</w:t>
      </w:r>
    </w:p>
    <w:p>
      <w:r>
        <w:rPr>
          <w:b/>
        </w:rPr>
        <w:t>E. 3.1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 3 let. c CEDH (arrêt du Tribunal fédéral 1B_387/2012 du 24 janvier 2013 consid. 4.3).</w:t>
      </w:r>
    </w:p>
    <w:p>
      <w:r>
        <w:rPr>
          <w:b/>
        </w:rPr>
        <w:t>E. 3.2</w:t>
      </w:r>
    </w:p>
    <w:p>
      <w:r>
        <w:t>Une demande de remplacement du défenseur d'office ne peut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p. 105 ; 105 Ia 296 consid. 1e p. 304).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2e éd., Bâle 2019, n. 17 ad art. 134).</w:t>
      </w:r>
    </w:p>
    <w:p>
      <w:r>
        <w:rPr>
          <w:b/>
        </w:rPr>
        <w:t>E. 3.3</w:t>
      </w:r>
    </w:p>
    <w:p>
      <w:r>
        <w:t>En l'espèce, le recourant motive son recours par le fait que Me C______ ne défendrait pas ses intérêts et ne ferait pas le nécessaire pour obtenir copie des auditions EVIG. Aucun élément au dossier ne laisse entrevoir que tel serait le cas. Me C______ a assisté le recourant aux audiences d'instruction. Il s'est opposé aux demandes du Ministère public relatives à sa détention. Il a obtenu copie du dossier en</w:t>
      </w:r>
    </w:p>
    <w:p>
      <w:r>
        <w:t>- 5/7 - P/10916/2020 mars 2022, puis s'est vu, en juin 2022, refuser l'accès aux pièces ultérieures, y compris des auditions EVIG, qui ne figurent au demeurant toujours pas au dossier. Il n'y a là aucun motif objectif laissant entrevoir que l'avocat n'assurerait pas une défense efficace du recourant. Au regard des conditions strictes posées à l'art. 134 al. 2 CPP, le changement du défenseur désigné ne se justifie donc pas.</w:t>
      </w:r>
    </w:p>
    <w:p>
      <w:r>
        <w:rPr>
          <w:b/>
        </w:rPr>
        <w:t>E. 4</w:t>
      </w:r>
    </w:p>
    <w:p>
      <w:r>
        <w:t>Le recours sera dès lors rejeté.</w:t>
      </w:r>
    </w:p>
    <w:p>
      <w:r>
        <w:rPr>
          <w:b/>
        </w:rPr>
        <w:t>E. 5</w:t>
      </w:r>
    </w:p>
    <w:p>
      <w:r>
        <w:t>Le recourant, bien qu'au bénéfice de l'assistance juridique, supportera les frais de la procédure de recours (art. 428 al. 1 CPP; arrêts du Tribunal fédéral 1B_203/2011 du 18 mai 2011 consid. 4 et 1B_372/2014 du 8 avril 2015 consid. 4.6), qui seront fixés en totalité à CHF 500.- (art. 13 al. 1 du Règlement fixant le tarif des frais en matière pénale, RTFMP; E 4 10.03). * * * * *</w:t>
      </w:r>
    </w:p>
    <w:p>
      <w:r>
        <w:t>- 6/7 - P/10916/2020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