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ACPR/566/2024 vom 18. Juli 2024</w:t>
      </w:r>
    </w:p>
    <w:p>
      <w:r>
        <w:t>GE Cour de justice, 2024-07-18, FR</w:t>
      </w:r>
    </w:p>
    <w:p>
      <w:r>
        <w:rPr>
          <w:b/>
        </w:rPr>
        <w:t xml:space="preserve">Quelle: </w:t>
      </w:r>
      <w:r>
        <w:t>https://mcp.opencaselaw.ch/entscheid/ge_gerichte_ACPR_566_2024</w:t>
      </w:r>
    </w:p>
    <w:p>
      <w:r>
        <w:t>FR: GE_GERICHTE ACPR/566/2024 du 18 juillet 2024</w:t>
      </w:r>
    </w:p>
    <w:p>
      <w:r>
        <w:t>IT: GE_GERICHTE ACPR/566/2024 del 18 luglio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t>- 4/7 - PM/723/2024</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demande compréhension et clémence.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rPr>
          <w:b/>
        </w:rPr>
        <w:t>E. 3.2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t>- 5/7 - PM/723/2024</w:t>
      </w:r>
    </w:p>
    <w:p>
      <w:r>
        <w:rPr>
          <w:b/>
        </w:rPr>
        <w:t>E. 3.3</w:t>
      </w:r>
    </w:p>
    <w:p>
      <w:r>
        <w:t>En l'espèce, le préavis de l’établissement de détention est favorable, et le SAPEM a retenu que le comportement du recourant en prison ne pouvait être qualifié de mauvais. Les préavis négatifs délivrés par le SAPEM et le Ministère public ne reposent que sur le risque de réitération qu'il présente. À cet égard, le recourant, qui avait été condamné pour trafic de stupéfiants en 2018, a déjà bénéficié d'une libération conditionnelle, en mai 2019, mais a recommencé ses activités illégales en octobre 2020, soit cinq mois seulement après la fin du délai d'épreuve. Il a dès lors déjà bénéficié d'une chance, qu'il n'a pas su mettre à profit. Le recourant n’a produit aucune pièce à l’appui de son projet de vie en France. Ses prétendues charges de famille ne reposent sur aucune pièce justificative, et son état civil enregistré au SAPEM le donne pour célibataire. Au vu de son refus, antérieur et persistant, de coopérer pour quitter le territoire suisse, voire de la dissimulation de son identité réelle, l’on ne peut que mettre en doute son intention de se plier aux expulsions judiciaires en vigueur, tout comme ses perspectives de séjourner valablement en France ; l’on peut même redouter que, une fois libéré, il ne se retrouve exactement dans les mêmes conditions que celles qui lui ont valu des poursuites pénales. Par ailleurs, ses récidives s’inscrivent à bref délai après ses condamnations précédentes. Ainsi, l'on ne peut accepter qu'un condamné recommence à mettre en danger la santé de nombreuses personnes par la vente de drogue pour se procurer un revenu. C'est ainsi à bon droit que l'autorité précédente a retenu que le risque de récidive était, ici, au vu des circonstances sus-décrites, trop élevé pour que le recourant bénéficie à nouveau d'une libération conditionnelle.</w:t>
      </w:r>
    </w:p>
    <w:p>
      <w:r>
        <w:rPr>
          <w:b/>
        </w:rPr>
        <w:t>E. 4</w:t>
      </w:r>
    </w:p>
    <w:p>
      <w:r>
        <w:t>Le recours sera dès lors rejeté.</w:t>
      </w:r>
    </w:p>
    <w:p>
      <w:r>
        <w:rPr>
          <w:b/>
        </w:rPr>
        <w:t>E. 5</w:t>
      </w:r>
    </w:p>
    <w:p>
      <w:r>
        <w:t>Le recourant, qui succombe, supportera les frais envers l'État, qui seront fixés en totalité à CHF 500.- (art. 428 al. 1 CPP et 13 al. 1 du Règlement fixant le tarif des frais en matière pénale, RTFMP ; E 4 10.03). * * * * *</w:t>
      </w:r>
    </w:p>
    <w:p>
      <w:r>
        <w:t>- 6/7 - PM/723/2024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