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ACPR/566/2023 vom 2. Mai 2023</w:t>
      </w:r>
    </w:p>
    <w:p>
      <w:r>
        <w:t>GE Cour de justice, 2023-05-02, FR</w:t>
      </w:r>
    </w:p>
    <w:p>
      <w:r>
        <w:rPr>
          <w:b/>
        </w:rPr>
        <w:t xml:space="preserve">Quelle: </w:t>
      </w:r>
      <w:r>
        <w:t>https://mcp.opencaselaw.ch/entscheid/ge_gerichte_ACPR_566_2023</w:t>
      </w:r>
    </w:p>
    <w:p>
      <w:r>
        <w:t>FR: GE_GERICHTE ACPR/566/2023 du 2 mai 2023</w:t>
      </w:r>
    </w:p>
    <w:p>
      <w:r>
        <w:t>IT: GE_GERICHTE ACPR/566/2023 del 2 maggio 2023</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auprès de la Chambre de céans (art. 310 al. 2, 322 al. 2 et 393 al. 1 let. a CPP) et émaner de la partie plaignante, qui a un intérêt juridiquement protégé à l’annulation ou à la modification de la décision entreprise (art. 382 al. 1 et 104 al. 1 let. b CPP).</w:t>
      </w:r>
    </w:p>
    <w:p>
      <w:r>
        <w:rPr>
          <w:b/>
        </w:rPr>
        <w:t>E. 2</w:t>
      </w:r>
    </w:p>
    <w:p>
      <w:r>
        <w:t>La Chambre pénale de recours peut décider d'emblée de traiter sans échange d'écritures ni débats les recours manifestement irrecevables ou mal fondés (art. 390 al. 2 et 5 a contrario CPP). Tel est le cas en l'occurrence.</w:t>
      </w:r>
    </w:p>
    <w:p>
      <w:r>
        <w:rPr>
          <w:b/>
        </w:rPr>
        <w:t>E. 3</w:t>
      </w:r>
    </w:p>
    <w:p>
      <w:r>
        <w:t>En premier lieu, les circonstances dans lesquelles s’est ouverte l’audience d’instruction du 18 juin 2015, avec ou sans préambule non contradictoire, avec ou sans remise de pièces à la partie plaignante au vu et au su du recourant, n’ont jamais été critiquées avant la présente instance, et notamment pas dans la plainte pénale. Le dossier ne comporte rien qui attesterait de ce que le recourant prétend avoir entrepris « ensuite » de l’audience susmentionnée. Il n’existe pas de décision préalable du Ministère public sur ces points. Il n’y a donc pas à entrer en matière.</w:t>
      </w:r>
    </w:p>
    <w:p>
      <w:r>
        <w:t>- 6/10 - P/19059/2022</w:t>
      </w:r>
    </w:p>
    <w:p>
      <w:r>
        <w:rPr>
          <w:b/>
        </w:rPr>
        <w:t>E. 4</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w:t>
      </w:r>
    </w:p>
    <w:p>
      <w:r>
        <w:rPr>
          <w:b/>
        </w:rPr>
        <w:t>E. 5</w:t>
      </w:r>
    </w:p>
    <w:p>
      <w:r>
        <w:t>Le recourant soutient que le Procureur aurait commis un abus d’autorité en ouvrant rapidement une procédure contre lui.</w:t>
      </w:r>
    </w:p>
    <w:p>
      <w:r>
        <w:rPr>
          <w:b/>
        </w:rPr>
        <w:t>E. 5.1</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serviteurs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w:t>
      </w:r>
    </w:p>
    <w:p>
      <w:r>
        <w:t>- 7/10 - P/19059/2022</w:t>
      </w:r>
    </w:p>
    <w:p>
      <w:r>
        <w:t>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Aux termes de l'art. 14 CP, quiconque agit comme la loi l'ordonne ou l'autorise se comporte de manière licite.</w:t>
      </w:r>
    </w:p>
    <w:p>
      <w:r>
        <w:rPr>
          <w:b/>
        </w:rPr>
        <w:t>E. 5.2</w:t>
      </w:r>
    </w:p>
    <w:p>
      <w:r>
        <w:t>En l’espèce, le grief d’un particulier empressement du Procureur à ouvrir une instruction contre le recourant et à l’étendre d’office à la tentative de contrainte ne saurait constituer des indices d’un abus d’autorité. L’art. 309 CPP ne soumet l’ouverture d’une instruction qu’à la condition – matérielle – de soupçons suffisants ressortant de la dénonciation dont le Ministère public est saisi (al. 1 let. a), mais non à un quelconque délai d’attente. Il en va de même pour les soupçons dont il a connaissance (art. 7 al. 1 et 311 al. 2 CPP). À partir du moment où le recourant, dans sa requête en récusation du 8 mai 2015, n’avait pas vu de hâte suspecte dans ces actes de procédure et que ceux-ci entrent dans les compétences légales de tout magistrat du Ministère public (art. 16 CPP et 77 al. 2 LOJ), on ne voit pas comment pareilles décisions pourraient trahir un déploiement de puissance étatique incontrôlé et arbitraire. Que le recourant ait été par la suite acquitté des préventions de calomnie et de tentative de contrainte n’y change rien. Le dernier mot en matière de bien-fondé d’une accusation pénale revient aux tribunaux institués par la loi (art. 9, 10 et 19 al. 1 CPP). N’y change rien, non plus, le refus allégué d’administrer pendant la procédure préliminaire les preuves libératoires de la diffamation. Cette possibilité n’est pas systématiquement ouverte pendant l’instruction (cf. arrêt du Tribunal fédéral 6B_1047/2019 du 15 janvier 2020 consid. 3.1.). Surtout, le recourant n’en a pas été privé dans la suite de la procédure, i.e. par-devant le juge du fond : il a pu en demander le bénéfice, et l’a effectivement demandé, tant en première instance (jugement du 4 juin 2018 p. 2) qu’en appel (arrêt du 26 septembre 2019 p. 2).</w:t>
      </w:r>
    </w:p>
    <w:p>
      <w:r>
        <w:rPr>
          <w:b/>
        </w:rPr>
        <w:t>E. 6</w:t>
      </w:r>
    </w:p>
    <w:p>
      <w:r>
        <w:t>Le recourant soutient que l’avocat de sa partie adverse aurait commis une fausse déclaration en justice (art. 306 CP), à l’occasion de sa déposition comme partie plaignante par-devant le Ministère public, le 13 juillet 2017. À tort.</w:t>
      </w:r>
    </w:p>
    <w:p>
      <w:r>
        <w:t>- 8/10 - P/19059/2022</w:t>
      </w:r>
    </w:p>
    <w:p>
      <w:r>
        <w:t>Quoi qu’en dise le recourant, l’avocat n’a nullement déposé ce jour-là dans le cadre d’un procès civil, au sens de la disposition légale susmentionnée, mais pour les besoins d’une procédure pénale, fût-ce en qualité de partie plaignante. L’art. 306 CP n’est donc « bien évidemment » pas mentionné à l’art. 181 al. 2 CPP (cf. Y. JEANNERET / A. KUHN / C. PERRIER DEPEURSINGE (éds), op. cit., n. 10 ad art. 181). Partant, il n’est pas applicable, en l’espèce. En revanche, la partie plaignante doit être rendue attentive aux conséquences possibles d’une accusation calomnieuse, de déclarations visant à induire la justice en erreur ou d’une entrave à l’action pénale (art. 181 al. 2 CPP). Or, l’avocat visé se les était dûment vus rappeler lors de sa première audition, le 18 juin 2015.</w:t>
      </w:r>
    </w:p>
    <w:p>
      <w:r>
        <w:rPr>
          <w:b/>
        </w:rPr>
        <w:t>E. 7</w:t>
      </w:r>
    </w:p>
    <w:p>
      <w:r>
        <w:t>Le recours doit par conséquent être rejeté.</w:t>
      </w:r>
    </w:p>
    <w:p>
      <w:r>
        <w:rPr>
          <w:b/>
        </w:rPr>
        <w:t>E. 8</w:t>
      </w:r>
    </w:p>
    <w:p>
      <w:r>
        <w:t>Comme il était d’emblée dénué de chances de succès, le recourant ne saurait être exonéré des frais judiciaires. Il supportera, par conséquent, les frais envers l'État, fixés en totalité à CHF 800.- (art. 428 al. 1 CPP et 13 al. 1 du Règlement fixant le tarif des frais en matière pénale, RTFMP; E 4 10.03). * * * * *</w:t>
      </w:r>
    </w:p>
    <w:p>
      <w:r>
        <w:t>- 9/10 - P/19059/2022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