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ACPR/566/2022 vom 2. August 2022</w:t>
      </w:r>
    </w:p>
    <w:p>
      <w:r>
        <w:t>GE Cour de justice, 2022-08-02, FR</w:t>
      </w:r>
    </w:p>
    <w:p>
      <w:r>
        <w:rPr>
          <w:b/>
        </w:rPr>
        <w:t xml:space="preserve">Quelle: </w:t>
      </w:r>
      <w:r>
        <w:t>https://mcp.opencaselaw.ch/entscheid/ge_gerichte_ACPR_566_2022</w:t>
      </w:r>
    </w:p>
    <w:p>
      <w:r>
        <w:t>FR: GE_GERICHTE ACPR/566/2022 du 2 août 2022</w:t>
      </w:r>
    </w:p>
    <w:p>
      <w:r>
        <w:t>IT: GE_GERICHTE ACPR/566/2022 del 2 agosto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L'existence de charges suffisantes et grave n'est pas remise en cause. Il peut être, à cet égard, renvoyé, en tant que de besoin, à la motivation adoptée par le premier juge (art. 82 al. 4 CPP; arrêt du Tribunal fédéral 1B_252/2020 du 11 juin 2020 consid. 2.1.; ACPR/547/2020 du 18 août 2020 consid. 2 et les références; N. SCHMID / D. JOSITSCH, Schweizerische Strafprozessordnung : Praxiskommentar, 3ème éd., Zurich 2018, n. 15 ad art. 82), qui expose les indices graves et concordants</w:t>
      </w:r>
    </w:p>
    <w:p>
      <w:r>
        <w:t>- 5/7 - P/10916/2020 pesant sur le recourant, ainsi que les risques – de collusion et réitération – qu'aucune mesure de substitution ne serait apte à pallier.</w:t>
      </w:r>
    </w:p>
    <w:p>
      <w:r>
        <w:rPr>
          <w:b/>
        </w:rPr>
        <w:t>E. 3</w:t>
      </w:r>
    </w:p>
    <w:p>
      <w:r>
        <w:t>En fustigeant la durée – deux mois – de la prolongation ordonnée par le TMC et le temps pris pour l'accomplissement de certains actes d'instruction, le recourant invoque, avec ses mots, une violation du principe de la célérité.</w:t>
      </w:r>
    </w:p>
    <w:p>
      <w:r>
        <w:rPr>
          <w:b/>
        </w:rPr>
        <w:t>E. 3.1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w:t>
      </w:r>
    </w:p>
    <w:p>
      <w:r>
        <w:rPr>
          <w:b/>
        </w:rPr>
        <w:t>E. 3.2</w:t>
      </w:r>
    </w:p>
    <w:p>
      <w:r>
        <w:t>En l'espèce, le recourant a été arrêté le 5 février 2022 et l'instruction paraît, selon les observations du Ministère public devant la Chambre de céans, toucher à sa fin. L'instruction n'accuse donc pas, dans son ensemble, de retard injustifié au vu de la gravité des charges retenues contre le prévenu. Le recourant a toutefois raison lorsqu'il relève que la demande de prolongation de la détention, du 28 juillet 2022, est fondée sur l'obtention de documents – transcriptions EVIG et rapport du SPMi – que le Ministère public avait déjà déclaré attendre – donc avoir requis – dans la précédente requête, du 27 avril 2022.</w:t>
      </w:r>
    </w:p>
    <w:p>
      <w:r>
        <w:t>- 6/7 - P/10916/2020 Le Ministère public n'a finalement demandé les transcriptions que le 19 juillet 2022, alors qu'elles auraient pu l'être déjà à réception du rapport de police du 9 mai 2022. De plus, seules les auditions EVIG du 28 avril 2022 semblent être visées par le mandat d'acte d'enquêtes du 19 juillet 2022, alors que la transcription de la première audition de E______, le 5 février 2022, ne figure toujours pas au dossier. De même, le Ministère public a allégué, à l'appui de sa demande de prolongation de la détention du 27 avril 2022, "rester dans l'attente" du rapport du SPMi, alors qu'il n'avait ni répondu à la lettre de ce dernier, du 25 mars 2022, le questionnant sur les dossiers dont l'apport était demandé, ni ne l'avait relancé pour l'obtention d'un rapport circonstancié sur la situation des enfants, qu'il n'a finalement requis que le 11 juillet 2022. En outre, en informant le défenseur du prévenu que les transcriptions des auditions EVIG étaient "non consultables en l'état", le Ministère public a laissé entendre qu'elles figuraient au dossier, ce qui n'était pas le cas. Si ces atermoiements et ce mode de faire ne suffisent pas, sur la base de la jurisprudence sus-rappelée, à consacrer une violation du principe de la célérité, il n'est pas acceptable que la prolongation de la détention d'un prévenu soit requise sur la base d'actes d'instruction annoncés comme ordonnés, alors qu'ils ne le sont pas. Le Ministère public est donc invité à faire diligence afin que les actes d'enquête désormais ordonnés et les rapports requis d'autres autorités soient accomplis, respectivement obtenus, sans tarder.</w:t>
      </w:r>
    </w:p>
    <w:p>
      <w:r>
        <w:rPr>
          <w:b/>
        </w:rPr>
        <w:t>E. 4</w:t>
      </w:r>
    </w:p>
    <w:p>
      <w:r>
        <w:t>Pour les raisons qui précèdent, le recours s'avère infondé et doit être rejeté.</w:t>
      </w:r>
    </w:p>
    <w:p>
      <w:r>
        <w:rPr>
          <w:b/>
        </w:rPr>
        <w:t>E. 5</w:t>
      </w:r>
    </w:p>
    <w:p>
      <w:r>
        <w:t>Le recours s'étant néanmoins révélé efficace, les frais de l'instance seront laissés à la charge de l'État.</w:t>
      </w:r>
    </w:p>
    <w:p>
      <w:r>
        <w:rPr>
          <w:b/>
        </w:rPr>
        <w:t>E. 6</w:t>
      </w:r>
    </w:p>
    <w:p>
      <w:r>
        <w:t>Le défenseur d’office n’étant pas intervenu, aucune indemnité n’est due (art. 135 CPP). * * * * *</w:t>
      </w:r>
    </w:p>
    <w:p>
      <w:r>
        <w:t>- 7/7 - P/10916/2020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