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ACPR/566/2019 vom 7. Mai 2019</w:t>
      </w:r>
    </w:p>
    <w:p>
      <w:r>
        <w:t>GE Cour de justice, 2019-05-07, FR</w:t>
      </w:r>
    </w:p>
    <w:p>
      <w:r>
        <w:rPr>
          <w:b/>
        </w:rPr>
        <w:t xml:space="preserve">Quelle: </w:t>
      </w:r>
      <w:r>
        <w:t>https://mcp.opencaselaw.ch/entscheid/ge_gerichte_ACPR_566_2019</w:t>
      </w:r>
    </w:p>
    <w:p>
      <w:r>
        <w:t>FR: GE_GERICHTE ACPR/566/2019 du 7 mai 2019</w:t>
      </w:r>
    </w:p>
    <w:p>
      <w:r>
        <w:t>IT: GE_GERICHTE ACPR/566/2019 del 7 maggio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- 5/10 - P/18655/2018</w:t>
      </w:r>
    </w:p>
    <w:p>
      <w:r>
        <w:rPr>
          <w:b/>
        </w:rPr>
        <w:t>E. 1.2</w:t>
      </w:r>
    </w:p>
    <w:p>
      <w:r>
        <w:t>Il est communément admis en procédure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Partant, la conclusion de la recourante tendant à l'octroi d'un délai supplémentaire, afin de compléter son écriture, sera rejeté.</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avoir motivé son ordonnance.</w:t>
      </w:r>
    </w:p>
    <w:p>
      <w:r>
        <w:rPr>
          <w:b/>
        </w:rPr>
        <w:t>E. 3.1</w:t>
      </w:r>
    </w:p>
    <w:p>
      <w:r>
        <w:t>Il découle notamment du droit d'être entendu, garanti par les art. 80 CPP et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arrêt du Tribunal fédéral 6B_28/2011 précité).</w:t>
      </w:r>
    </w:p>
    <w:p>
      <w:r>
        <w:rPr>
          <w:b/>
        </w:rPr>
        <w:t>E. 3.2</w:t>
      </w:r>
    </w:p>
    <w:p>
      <w:r>
        <w:t>En l'espèce, l'ordonnance querellée mentionne de manière suffisante les éléments retenus à l'appui de sa décision. D'ailleurs, la recourante a été en mesure de la contester de façon circonstanciée, son écriture de recours comprenant 19 pages. En conséquence, ce grief sera rejeté.</w:t>
      </w:r>
    </w:p>
    <w:p>
      <w:r>
        <w:rPr>
          <w:b/>
        </w:rPr>
        <w:t>E. 4</w:t>
      </w:r>
    </w:p>
    <w:p>
      <w:r>
        <w:t>La recourante reproche également au Ministère public d'avoir violé son droit d'être entendu dans la mesure où elle n'a pas eu l'occasion de se déterminer sur les déclarations du mis en cause.</w:t>
      </w:r>
    </w:p>
    <w:p>
      <w:r>
        <w:t>- 6/10 - P/18655/2018</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M. NIGGLI / M. HEER / H. WIPRÄCHTIGER, Schweizerische Strafprozess- ordnung / Schweizerische Jugendstrafprozessordnung, Basler Kommentar StPO/JStPO, Bâle 2011, n. 19-21 ad art. 310; A. DONATSCH / T. HANSJAKOB / V. LIEBER (éds), Kommentar zur Schweizerischen Strafprozessordnung (StPO), Zurich 2014, n. 11 ad art. 310).</w:t>
      </w:r>
    </w:p>
    <w:p>
      <w:r>
        <w:rPr>
          <w:b/>
        </w:rPr>
        <w:t>E. 4.2</w:t>
      </w:r>
    </w:p>
    <w:p>
      <w:r>
        <w:t>Conformément à ce qui précède, le Ministère public n'était donc pas tenu d'entendre la recourante avant de rendre l'ordonnance de non-entrée en matière querellée, de sorte que le grief est infondé.</w:t>
      </w:r>
    </w:p>
    <w:p>
      <w:r>
        <w:rPr>
          <w:b/>
        </w:rPr>
        <w:t>E. 5</w:t>
      </w:r>
    </w:p>
    <w:p>
      <w:r>
        <w:t>La recourante reproche, en substance, au Ministère public de ne pas être entré en matière sur sa plainte.</w:t>
      </w:r>
    </w:p>
    <w:p>
      <w:r>
        <w:rPr>
          <w:b/>
        </w:rPr>
        <w:t>E. 5.1</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arrêt du Tribunal fédéral 6B_417/2017 du 10 janvier 2018 consid. 2.1.2).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w:t>
      </w:r>
    </w:p>
    <w:p>
      <w:r>
        <w:t>- 7/10 - P/18655/2018 personne visée que le ministère public peut rendre une ordonnance de non-entrée en matière. En cas de doute sur la possibilité d'apporter ultérieurement la preuve des faits en question, la non-entrée en matière est exclue (A. KUHN / Y. JEANNERET (éds), A. KUHN / Y. JEANNERET (éds), Commentaire romand : Code de procédure pénale suisse, Bâle 2011, n. 9 ad art. 310). 5.2.1. Selon l'art. 137 al.1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Commet un abus de confiance au sens de l'art. 138 ch. 1 CP, celui qui, pour se procurer ou procurer à un tiers un enrichissement illégitime, se sera approprié une chose mobilière appartenant à autrui et qui lui avait été confiée (1er hypothèse), ou celui qui, sans droit aura employé à son profit ou au profit d'un tiers, des valeurs patrimoniales qui lui avaient été confiées (2ème hypothèse). L'art. 139 ch. 1 CP réprime le comportement de celui qui, pour se procurer ou procurer à un tiers un enrichissement illégitime, aura soustrait une chose mobilière appartenant à autrui dans le but de se l'approprier. 5.2.2. Les infractions précitées sont de nature intentionnelle et supposent également le dessein d'enrichissement illégitime. L'intention doit porter sur tous les éléments constitutifs des infractions, le dol éventuel suffit (A. MACALUSO/ L. MOREILLON/ N. QUELOZ (éds), Commentaire romand, Code pénal II, vol. II, Partie spéciale : art. 111-392 CP, Bâle 2017, n. 33 ad art. 137, n. 46 ad. art. 138, n. 45 art. 139).</w:t>
      </w:r>
    </w:p>
    <w:p>
      <w:r>
        <w:rPr>
          <w:b/>
        </w:rPr>
        <w:t>E. 5.3</w:t>
      </w:r>
    </w:p>
    <w:p>
      <w:r>
        <w:t>En l'espèce, l'accord conclu entre les parties prévoyait que les recettes provenant de l'horodateur et des affiches publicitaires seraient dévolues à C______ Sàrl. La recourante a résilié la convention. Dès réception du congé, D______ a entrepris des démarches judiciaires afin de le contester. Puis, à réception du jugement de première instance, il a fait appel auprès de la Chambre des baux et loyers, et enfin, après l'entrée en force de l'arrêt, a restitué le parking. Au regard de ce qui précède et des déclarations du mis en cause, il apparaît que, durant la période querellée et seule pertinente, soit du 1er janvier 2014 au 26 octobre 2016, le mis en cause n'a eu aucune intention, notamment d'appropriation illégitime. Il s'est contenté d'appliquer la convention qui prévalait jusqu'alors, dont il contestait, par les voies légitimes, la résiliation. L'argument de la recourante selon lequel le mis en cause savait agir illicitement dès l'entrée en force du jugement de première instance n'empêche pas que celle-ci ne soit intervenue qu'à l'issue du délai de recours contre l'arrêt de la</w:t>
      </w:r>
    </w:p>
    <w:p>
      <w:r>
        <w:t>- 8/10 - P/18655/2018 Chambre d'appel, en raison de l'effet suspensif de la procédure d'appel. Or, c'est précisément la date à laquelle il a cessé l'exploitation du parking et l'a restitué. Au surplus, l'on ne voit pas comment des recettes provenant de tiers (utilisateurs du parking, publicitaires) pourraient avoir la qualité de biens "confiés", ou appartenir à la recourante, la convention conclue entre les parties prévoyant que les revenus en question seraient encaissés au bénéfice de la C______ Sàrl. Au regard de ce qui précède, la décision du Ministère public ne prête pas le flanc à la critique et l'on ne voit pas que les actes d'enquête sollicités puissent conduire à une solution différente.</w:t>
      </w:r>
    </w:p>
    <w:p>
      <w:r>
        <w:rPr>
          <w:b/>
        </w:rPr>
        <w:t>E. 7</w:t>
      </w:r>
    </w:p>
    <w:p>
      <w:r>
        <w:t>Justifiée, l'ordonnance querellée sera donc confirmée.</w:t>
      </w:r>
    </w:p>
    <w:p>
      <w:r>
        <w:rPr>
          <w:b/>
        </w:rPr>
        <w:t>E. 8</w:t>
      </w:r>
    </w:p>
    <w:p>
      <w:r>
        <w:t>La recourante, qui succombe, supportera les frais envers l'État, qui seront fixés en totalité à CHF 1'500.- (art. 428 al. 1 CPP et 13 al. 1 du Règlement fixant le tarif des frais en matière pénale, RTFMP ; E 4 10.03) y compris un émolument de décision. * * * * *</w:t>
      </w:r>
    </w:p>
    <w:p>
      <w:r>
        <w:t>- 9/10 - P/18655/2018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