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ACPR/565/2025 vom 19. Juni 2025</w:t>
      </w:r>
    </w:p>
    <w:p>
      <w:r>
        <w:t>GE Cour de justice, 2025-06-19, FR</w:t>
      </w:r>
    </w:p>
    <w:p>
      <w:r>
        <w:rPr>
          <w:b/>
        </w:rPr>
        <w:t xml:space="preserve">Quelle: </w:t>
      </w:r>
      <w:r>
        <w:t>https://mcp.opencaselaw.ch/entscheid/ge_gerichte_ACPR_565_2025</w:t>
      </w:r>
    </w:p>
    <w:p>
      <w:r>
        <w:t>FR: GE_GERICHTE ACPR/565/2025 du 19 juin 2025</w:t>
      </w:r>
    </w:p>
    <w:p>
      <w:r>
        <w:t>IT: GE_GERICHTE ACPR/565/2025 del 19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lesquelles se seraient amoindries au cours de l'instruction.</w:t>
      </w:r>
    </w:p>
    <w:p>
      <w:r>
        <w:rPr>
          <w:b/>
        </w:rPr>
        <w:t>E. 2.1</w:t>
      </w:r>
    </w:p>
    <w:p>
      <w:r>
        <w:t>À ce stade, la Chambre de céans doit uniquement examiner s'il existe des indices sérieux de culpabilité justifiant la prolongation de la détention provisoire (ATF 143 IV 330 consid. 2.1; 143 IV 316 consid. 3.1 et 3.2; arrêt du Tribunal fédéral 7B_571/2024 du 6 juin 2024 consid. 2.2 et l'arrêt cité). Dans son précédent arrêt, la Chambre de céans a retenu que les charges, suffisantes et graves, justifiaient une mise en détention provisoire, au sens de l'art. 221 al. 1 CPP (ACPR/291/2025 précité consid. 2.2). Depuis lors, contrairement à ce qu'affirme le recourant, les soupçons, le concernant, ne se sont pas amoindris, au contraire. Ainsi, il a admis avoir, à la demande de son épouse, dans le parking du no. ______, rue 2______, remis des clés de voiture, à E______ – l'un des "lieutenants" présumé du réseau "K______" – et, à une autre occasion, un sachet de pharmacie. Il a confirmé s'être rendu dans le box du même parking – endroit où ont été saisi 2 kg de cocaïne, une caméra et deux sprays "O______" –, à chaque fois qu'il avait besoin d'outils qu'il y avait entreposés, ce qui rend ses dénégations au sujet de sa participation au trafic de stupéfiants mis à jour plus que douteuses. En outre, lors de l'audience du 30 juin 2025, R______ l'a reconnu comme étant la personne qui lui avait remis, le 17 janvier 2025, un sac contenant</w:t>
      </w:r>
    </w:p>
    <w:p>
      <w:r>
        <w:t>- 10/15 - P/22169/2024 plusieurs milliers de francs correspondant à une livraison de cocaïne impliquant C______. Le fait qu'il conteste cette remise ou que, selon R______, il ait pu ne pas savoir ce que contenait le sac, n'est pas de nature à atténuer les soupçons qui pèsent sur lui d'une participation active au trafic de stupéfiants en cause, impliquant au demeurant son épouse, avec laquelle il vivait, et son beau-fils qui demeurait une dizaine de jours par mois chez eux. La fréquence et la teneur des échanges avec E______ est encore en cours d'instruction. Partant, à ce stade de l'enquête, des soupçons suffisants demeurent quant à la participation du recourant à un trafic de stupéfiants d'envergure, s'étant inscrit dans la durée, bien organisé et structuré.</w:t>
      </w:r>
    </w:p>
    <w:p>
      <w:r>
        <w:rPr>
          <w:b/>
        </w:rPr>
        <w:t>E. 3</w:t>
      </w:r>
    </w:p>
    <w:p>
      <w:r>
        <w:t>Le recourant conteste le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En l'occurrence, le recourant soutient qu'un risque de fuite à son égard serait purement spéculatif. Or, depuis le précédent arrêt de la Chambre de céans, qui a retenu l'existence d'un tel risque (ACPR/291/2025 précité consid. 2.2, auquel il est expressément renvoyé et rappelé ci-dessus), aucun élément au dossier ne permet de considérer que la situation commanderait, à ce stade, d'apprécier différemment la situation. Les soupçons des charges pesant contre le recourant n'apparaissent pas s'être amoindries, au contraire, au vu de ses propres déclarations, susmentionnées (cf. consid. 2.1) et de celles de R______. Partant, le risque perdure qu'il cherche à se réfugier en Roumanie, pays dans lequel il a encore sa sœur, à laquelle il a encore rendu visite en 2024, voire ailleurs à l'étranger. En outre, le recourant indique avoir renoncé à sa nationalité roumaine du fait de sa naturalisation suisse, ce qui n'est toutefois pas établi. On peut enfin douter que l'absence de nationalité dudit pays exclut qu'il puisse y séjourner. Le risque de fuite demeure donc patent.</w:t>
      </w:r>
    </w:p>
    <w:p>
      <w:r>
        <w:rPr>
          <w:b/>
        </w:rPr>
        <w:t>E. 4</w:t>
      </w:r>
    </w:p>
    <w:p>
      <w:r>
        <w:t>Le recourant considère que le risque de collusion serait inexistant.</w:t>
      </w:r>
    </w:p>
    <w:p>
      <w:r>
        <w:t>- 11/15 - P/22169/2024</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In casu, le recourant est fortement soupçonné d'avoir participé à un important trafic de stupéfiants. L'instruction se poursuit sans relâche et le recourant doit encore être confronté aux résultats d'actes d'enquête en cours, ainsi que, le moment venu, aux autres prévenus, voire aux autres participants au trafic encore non identifiés. Ainsi, le risque reste grand, compte tenu de ses dénégations, de l'important enjeu pour lui et de la gravité des faits reprochés, qu'il tente à tout le moins d'entrer en contact avec son épouse, C______, E______, voire R______, notamment pour faire coïncider leurs versions, voire, s'agissant de cette dernière, de la convaincre de revenir sur les déclarations le concernant. C'est donc à bon droit que le TMC a retenu l'existence d'un risque de collusion qu'aucune mesure de substitution ne serait à même de pallier.</w:t>
      </w:r>
    </w:p>
    <w:p>
      <w:r>
        <w:rPr>
          <w:b/>
        </w:rPr>
        <w:t>E. 5</w:t>
      </w:r>
    </w:p>
    <w:p>
      <w:r>
        <w:t>L'admission de ces deux risques indiscutables dispense l'autorité de recours d'examiner si un risque de réitération – alternatif – existe également (arrêts du Tribunal fédéral 7B_144/2025 du 24 mars 2025 consid. 3.3 ; 7B_188/2024 du 12 mars 2024 consid. 6.3.1 et 1B_197/2023 du 4 mai 2023 consid. 4.5).</w:t>
      </w:r>
    </w:p>
    <w:p>
      <w:r>
        <w:rPr>
          <w:b/>
        </w:rPr>
        <w:t>E. 6</w:t>
      </w:r>
    </w:p>
    <w:p>
      <w:r>
        <w:t>Le recourant propose les mêmes mesures de substitution (art. 237 al. 1 CPP) que celles traitées par la Chambre de céans dans son précédent arrêt et jugées inaptes à empêcher les risques considérés (cf. not. ACPR/291/2025 précité consid. 3.2 et 4.2) –, de sorte qu'il sied de s'y référer.</w:t>
      </w:r>
    </w:p>
    <w:p>
      <w:r>
        <w:t>- 12/15 - P/22169/2024 Aucune mesure de substitution ne permet ainsi, en l'état, de pallier les risques de fuite et de collusion.</w:t>
      </w:r>
    </w:p>
    <w:p>
      <w:r>
        <w:rPr>
          <w:b/>
        </w:rPr>
        <w:t>E. 7</w:t>
      </w:r>
    </w:p>
    <w:p>
      <w:r>
        <w:t>Le recourant invoque, subsidiairement, le principe de la proportionnalité.</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7.2</w:t>
      </w:r>
    </w:p>
    <w:p>
      <w:r>
        <w:t>En l'espèce, la durée de la détention provisoire ordonnée jusqu'au 19 septembre 2025 s'avère nécessaire pour permettre au Ministère public de procéder aux actes d'instruction annoncés. Elle n'apparaît pas excessive compte tenu de l'infraction reprochée pouvant être constitutive, à ce stade, d'un cas grave compte tenu des quantités de drogue retrouvées, des bénéfices réalisés au vu des dizaines de milliers de francs saisis, du nombre d'acteurs concernés et de la structure mise en place. Une fois les divers actes d'enquête en cours effectués, il appartiendra au Ministère public, indépendamment de tout autre acte qu'il pourrait décider d'ordonner dans l'intervalle, de confronter le recourant à leur résultat ainsi qu'à ses co-prévenus, et de se déterminer sur la suite de l'instruction. Ce grief est rejeté.</w:t>
      </w:r>
    </w:p>
    <w:p>
      <w:r>
        <w:rPr>
          <w:b/>
        </w:rPr>
        <w:t>E. 8</w:t>
      </w:r>
    </w:p>
    <w:p>
      <w:r>
        <w:t>Le recours s'avère donc infondé et doit être rejeté.</w:t>
      </w:r>
    </w:p>
    <w:p>
      <w:r>
        <w:rPr>
          <w:b/>
        </w:rPr>
        <w:t>E. 9</w:t>
      </w:r>
    </w:p>
    <w:p>
      <w:r>
        <w:t>Le recourant, qui succombe, supportera les frais envers l'État, fixés en totalité à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w:t>
      </w:r>
    </w:p>
    <w:p>
      <w:r>
        <w:t>- 13/15 - P/22169/2024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même si le recourant succombe, on peut admettre que l'exercice du présent recours ne procède pas d'un abus. L'indemnité du défenseur d'office sera fixée à la fin de la procédure (art. 135 al. 2 CPP). * * * * *</w:t>
      </w:r>
    </w:p>
    <w:p>
      <w:r>
        <w:t>- 14/15 - P/22169/2024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