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ACPR/564/2025 vom 9. Juni 2025</w:t>
      </w:r>
    </w:p>
    <w:p>
      <w:r>
        <w:t>GE Cour de justice, 2025-06-09, FR</w:t>
      </w:r>
    </w:p>
    <w:p>
      <w:r>
        <w:rPr>
          <w:b/>
        </w:rPr>
        <w:t xml:space="preserve">Quelle: </w:t>
      </w:r>
      <w:r>
        <w:t>https://mcp.opencaselaw.ch/entscheid/ge_gerichte_ACPR_564_2025</w:t>
      </w:r>
    </w:p>
    <w:p>
      <w:r>
        <w:t>FR: GE_GERICHTE ACPR/564/2025 du 9 juin 2025</w:t>
      </w:r>
    </w:p>
    <w:p>
      <w:r>
        <w:t>IT: GE_GERICHTE ACPR/564/2025 del 9 giugno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partie à la procédure (art. 104 al. 1 let. a CPP), qui a un intérêt juridiquement protégé à l'annulation ou à la modification de la décision querellée (art. 382 al. 1 CPP).</w:t>
      </w:r>
    </w:p>
    <w:p>
      <w:r>
        <w:rPr>
          <w:b/>
        </w:rPr>
        <w:t>E. 2</w:t>
      </w:r>
    </w:p>
    <w:p>
      <w:r>
        <w:t>Le recourant se plaint d'une violation de son droit d'être entendu.</w:t>
      </w:r>
    </w:p>
    <w:p>
      <w:r>
        <w:rPr>
          <w:b/>
        </w:rPr>
        <w:t>E. 2.1</w:t>
      </w:r>
    </w:p>
    <w:p>
      <w:r>
        <w:t>Le droit d'être entendu, tel qu'il est garanti par l'art. 29 al. 2 Cst., implique notamment, pour l'autorité, l'obligation de motiver sa décision, afin que, d'une part, le destinataire puisse la comprendre, l'attaquer utilement s'il y a lieu et, d'autre part, que l'autorité de recours puisse exercer son contrôle. Le juge doit ainsi mentionner, au moins brièvement, les motifs qui l'ont guidé et sur lesquels il a fondé sa décision, de manière à ce que la partie intéressée puisse se rendre compte de la portée de celle-ci et l'attaquer en connaissance de cause (ATF 143 IV 40 consid. 3.4.3 ; 142 I 135 consid. 2.1).</w:t>
      </w:r>
    </w:p>
    <w:p>
      <w:r>
        <w:rPr>
          <w:b/>
        </w:rPr>
        <w:t>E. 2.2</w:t>
      </w:r>
    </w:p>
    <w:p>
      <w:r>
        <w:t>En l'espèce, la motivation de l'ordonnance attaquée est certes succincte. Elle répond néanmoins à l'exigence légale précitée, en tant qu'elle fait référence à la procédure pénale anciennement dirigée contre le prévenu et à l'infraction qui lui était alors reprochée, à savoir une infraction à l'art. 19 al. 1 LStup. Telle motivation permettait dès lors au recourant de comprendre la décision et de la contester dans la cadre de son recours, ce qu'il a au demeurant fait. Partant, le grief est infondé.</w:t>
      </w:r>
    </w:p>
    <w:p>
      <w:r>
        <w:t>- 4/7 - P/13026/2025</w:t>
      </w:r>
    </w:p>
    <w:p>
      <w:r>
        <w:rPr>
          <w:b/>
        </w:rPr>
        <w:t>E. 3</w:t>
      </w:r>
    </w:p>
    <w:p>
      <w:r>
        <w:t>Le recourant s'oppose à l'établissement de son profil d'ADN.</w:t>
      </w:r>
    </w:p>
    <w:p>
      <w:r>
        <w:rPr>
          <w:b/>
        </w:rPr>
        <w:t>E. 3.1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3.2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3.3</w:t>
      </w:r>
    </w:p>
    <w:p>
      <w:r>
        <w:t>L'établissement d'un profil d'ADN destiné à élucider des crimes ou délits passés/futurs n'est proportionné que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du 23 juin 2023 consid. 4.3; 1B_230/2022 du 7 septembre 2022 consid. 2.2).</w:t>
      </w:r>
    </w:p>
    <w:p>
      <w:r>
        <w:rPr>
          <w:b/>
        </w:rPr>
        <w:t>E. 3.4</w:t>
      </w:r>
    </w:p>
    <w:p>
      <w:r>
        <w:t>En l'espèce, l'établissement du profil d'ADN du recourant a été ordonné pour élucider, non pas les infractions reprochées dans le cadre de la présente procédure, mais d'autres éventuels actes contraires à l'art. 19 al. 1 LStup, dès lors qu'il a déjà été soupçonné pour de tels faits et même condamné pour cela le 15 octobre 2020. Il existe ainsi des indices sérieux et concrets de la commission, par le recourant, de tels actes punissables. À cela s'ajoute la situation personnelle précaire de l'intéressé qui laisse craindre un ancrage dans la délinquance liée aux stupéfiants et permet de penser qu'il pourrait être impliqué dans d'autres infractions à la LStup encore inconnues des autorités, lesquelles</w:t>
      </w:r>
    </w:p>
    <w:p>
      <w:r>
        <w:t>- 5/7 - P/13026/2025 pourraient lui être attribuées si l'on était en mesure de comparer son profil d'ADN à des traces prélevées sur les lieux de leurs commissions. Enfin, les infractions à la LStup susceptibles d'être élucidées revêtent une certaine gravité eu égard à la santé publique. Il s'agit d'ailleurs d'un des cas expressément listés par la Directive A.5 du Procureur général (cf. n. 4.3) qui, bien que n'ayant pas force de loi, est fondée sur l'art. 255 al. 1bis CPP, lequel autorise l'établissement d'un profil d'ADN pour les infractions passées. Partant, la mesure querellée n'apparaît ni arbitraire ni disproportionnée. Le recourant ne saurait enfin prétexter que le coût de cette mesure, légale et proportionnée, sera mis à la charge de l'État, pour s'y soustraire, puisque précisément, ces frais n'auront pas été mis à sa charge. En définitive, l'ordonnance querellée ne prête pas le flanc à la critique, les réquisits pour le prononcé de l'établissement du profil d'ADN du recourant étant réunis.</w:t>
      </w:r>
    </w:p>
    <w:p>
      <w:r>
        <w:rPr>
          <w:b/>
        </w:rPr>
        <w:t>E. 4</w:t>
      </w:r>
    </w:p>
    <w:p>
      <w:r>
        <w:t>Justifiée, l'ordonnance querellée sera donc confirmée. Le recours, qui s'avère mal fondé, pouvait d'emblée être traité sans échange d'écritures ni débats (art. 390 al. 2 et</w:t>
      </w:r>
    </w:p>
    <w:p>
      <w:r>
        <w:rPr>
          <w:b/>
        </w:rPr>
        <w:t>E. 5</w:t>
      </w:r>
    </w:p>
    <w:p>
      <w:r>
        <w:t>Le recourant, qui succombe, supportera les frais envers l'État, fixés en totalité à CHF 500.- (art. 428 al. 1 CPP et 13 al. 1 du Règlement fixant le tarif des frais en matière pénale, RTFMP ; E 4 10.03).</w:t>
      </w:r>
    </w:p>
    <w:p>
      <w:r>
        <w:rPr>
          <w:b/>
        </w:rPr>
        <w:t>E. 6</w:t>
      </w:r>
    </w:p>
    <w:p>
      <w:r>
        <w:t>Corrélativement, aucun dépens ne lui sera alloué (ATF 144 IV 207 consid. 1.8.2). * * * * *</w:t>
      </w:r>
    </w:p>
    <w:p>
      <w:r>
        <w:t>- 6/7 - P/13026/2025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