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ACPR/563/2023 vom 21. März 2023</w:t>
      </w:r>
    </w:p>
    <w:p>
      <w:r>
        <w:t>GE Cour de justice, 2023-03-21, FR</w:t>
      </w:r>
    </w:p>
    <w:p>
      <w:r>
        <w:rPr>
          <w:b/>
        </w:rPr>
        <w:t xml:space="preserve">Quelle: </w:t>
      </w:r>
      <w:r>
        <w:t>https://mcp.opencaselaw.ch/entscheid/ge_gerichte_ACPR_563_2023</w:t>
      </w:r>
    </w:p>
    <w:p>
      <w:r>
        <w:t>FR: GE_GERICHTE ACPR/563/2023 du 21 mars 2023</w:t>
      </w:r>
    </w:p>
    <w:p>
      <w:r>
        <w:t>IT: GE_GERICHTE ACPR/563/2023 del 21 marzo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n'être pas entré en matière sur les faits dénoncés entre 2017 et 2021.</w:t>
      </w:r>
    </w:p>
    <w:p>
      <w:r>
        <w:rPr>
          <w:b/>
        </w:rPr>
        <w:t>E. 2.1</w:t>
      </w:r>
    </w:p>
    <w:p>
      <w:r>
        <w:t>En vertu des 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w:t>
      </w:r>
    </w:p>
    <w:p>
      <w:r>
        <w:rPr>
          <w:b/>
        </w:rPr>
        <w:t>E. 2.2</w:t>
      </w:r>
    </w:p>
    <w:p>
      <w:r>
        <w:t>Une ordonnance de non-entrée en matière doit aussi être rendue s'il ressort de la dénonciation que les éléments constitutifs d'une infraction ne sont manifestement pas réunis (art. 310 al. 1 let. a CPP). Selon la jurisprudence, cette disposition doit être appliquée conformément à l'adage "in dubio pro duriore" (arrêt du Tribunal fédéral 6B_1456/2017 du 14 mai 2018</w:t>
      </w:r>
    </w:p>
    <w:p>
      <w:r>
        <w:t>- 5/8 - P/10867/2017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2.3</w:t>
      </w:r>
    </w:p>
    <w:p>
      <w:r>
        <w:t>En l'espèce, on peut douter, avec la recourante, que la condamnation du mis en cause dans la procédure parallèle (P/1______/2021) s'oppose – en vertu de l'interdiction de double poursuite – à la poursuite des autres faits dénoncés, dès lors que ceux-ci couvrent une période temporelle, soit entre 2017 et 2021, excédant celle de l'ordonnance pénale du 23 décembre 2021, limitée aux 9 et 30 juin 2021. Cela ne suffit néanmoins pas établir le bien-fondé du recours. Au moment de dénoncer les actes de violence allégués, que ce soit les coups ou les menaces, la recourante n'a jamais été en mesure de les dater, ni de produire des éléments objectifs pour démontrer leur existence. Par ailleurs, ses déclarations à l'égard du mis en cause ont grandement fluctué au fil du temps et des procédures, allant même jusqu'à nier les faits pour lesquels celui-ci a finalement été condamné. Ces contradictions – remises dans le contexte conflictuel qui oppose les anciens conjoints – et l'absence de preuve matérielle ne permettent pas de retenir des soupçons suffisants à l'égard du mis en cause pour ces violences alléguées durant la relation. Pour les menaces prétendument survenues après leur séparation en été 2021, évoquées par la recourante lors de son audition du 20 décembre 2022, nonobstant la question du délai pour déposer plainte, elles sont également caractérisées par des déclarations lacunaires et contradictoires. La précitée n'a jamais fourni le nom des connaissances l'ayant approchée, ni démontré avoir reçu des appels anonymes. En outre, elle a affirmé, durant la même audience, être sans nouvelle du mis en cause depuis plus d'un an.</w:t>
      </w:r>
    </w:p>
    <w:p>
      <w:r>
        <w:t>- 6/8 - P/10867/2017 Ces circonstances ne permettent définitivement pas de fonder une prévention à l'égard du mis en cause.</w:t>
      </w:r>
    </w:p>
    <w:p>
      <w:r>
        <w:rPr>
          <w:b/>
        </w:rPr>
        <w:t>E. 3</w:t>
      </w:r>
    </w:p>
    <w:p>
      <w:r>
        <w:t>Justifiée, l'ordonnance querellée sera donc confirmée par substitution de motifs.</w:t>
      </w:r>
    </w:p>
    <w:p>
      <w:r>
        <w:rPr>
          <w:b/>
        </w:rPr>
        <w:t>E. 4</w:t>
      </w:r>
    </w:p>
    <w:p>
      <w:r>
        <w:t>La recourante, qui succombe, supportera les frais envers l'État, fixés en totalité à CHF 900.- (art. 428 al. 1 CPP et 13 al. 1 du Règlement fixant le tarif des frais en matière pénale, RTFMP ; E 4 10.03). * * * * *</w:t>
      </w:r>
    </w:p>
    <w:p>
      <w:r>
        <w:t>- 7/8 - P/10867/2017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