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ACPR/55/2026 vom 3. Dezember 2025</w:t>
      </w:r>
    </w:p>
    <w:p>
      <w:r>
        <w:t>GE Cour de justice, 2025-12-03, FR</w:t>
      </w:r>
    </w:p>
    <w:p>
      <w:r>
        <w:rPr>
          <w:b/>
        </w:rPr>
        <w:t xml:space="preserve">Quelle: </w:t>
      </w:r>
      <w:r>
        <w:t>https://mcp.opencaselaw.ch/entscheid/ge_gerichte_ACPR_55_2026</w:t>
      </w:r>
    </w:p>
    <w:p>
      <w:r>
        <w:t>FR: GE_GERICHTE ACPR/55/2026 du 3 décembre 2025</w:t>
      </w:r>
    </w:p>
    <w:p>
      <w:r>
        <w:t>IT: GE_GERICHTE ACPR/55/2026 del 3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w:t>
      </w:r>
    </w:p>
    <w:p>
      <w:r>
        <w:t>- 4/8 - P/27377/2025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w:t>
      </w:r>
    </w:p>
    <w:p>
      <w:r>
        <w:t>- 5/8 - P/27377/2025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éventuels crimes ou délits, étant relevé qu'il a déjà été condamné à quatre reprises pour délits à la LStup (les 19 mai 2019, 9 novembre 2022, 27 juin 2023 et 23 septembre 2025). Dans son recours, le recourant ne prétend pas que les conditions de l’art. 255 al. 1bis CPP ne seraient pas réalisées. Il soutient en revanche que la mesure serait disproportionnée car il avait déjà fait l’objet d’établissements de son profil d’ADN "par le passé". Or, il ne paraît ni arbitraire ni contraire au principe de la proportionnalité que chaque arrestation d’un prévenu, qui conduit à la condamnation de ce dernier, puisse donner lieu à l’établissement d’un profil d’ADN, si les conditions de l’art. 255 CPP sont remplies – ce qui est le cas ici –. 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d'un délit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w:t>
      </w:r>
    </w:p>
    <w:p>
      <w:r>
        <w:t>- 6/8 - P/27377/2025 délai de conservation, n'apparait nullement disproportionné, quand bien-même l'échéance dudit délai n'interviendrait que dans dix ou vingt ans. Le recourant soutient que le nouvel établissement de son profil d’ADN rendrait "lettre morte"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d’avoir commis de nouvelles infractions pour lesquelles l’établissement d’un profil d’ADN est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Que le coût de l’ordonnance querellée, de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faisant suite à cette mesure (cf. art. 353 al. 1 let. fbis CPP).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qui seront fixés en totalité à CHF 600.- (art. 428 al. 1 CPP et 13 al. 1 du Règlement fixant le tarif des frais en matière pénale, RTFMP ; E 4 10.03).</w:t>
      </w:r>
    </w:p>
    <w:p>
      <w:r>
        <w:rPr>
          <w:b/>
        </w:rPr>
        <w:t>E. 5</w:t>
      </w:r>
    </w:p>
    <w:p>
      <w:r>
        <w:t>Corrélativement, aucun dépens ne lui sera alloué (ATF 144 IV 207, consid. 1.8.2). * * * * *</w:t>
      </w:r>
    </w:p>
    <w:p>
      <w:r>
        <w:t>- 7/8 - P/27377/2025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