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ACPR/559/2021 vom 30. Juli 2021</w:t>
      </w:r>
    </w:p>
    <w:p>
      <w:r>
        <w:t>GE Cour de justice, 2021-07-30, FR</w:t>
      </w:r>
    </w:p>
    <w:p>
      <w:r>
        <w:rPr>
          <w:b/>
        </w:rPr>
        <w:t xml:space="preserve">Quelle: </w:t>
      </w:r>
      <w:r>
        <w:t>https://mcp.opencaselaw.ch/entscheid/ge_gerichte_ACPR_559_2021</w:t>
      </w:r>
    </w:p>
    <w:p>
      <w:r>
        <w:t>FR: GE_GERICHTE ACPR/559/2021 du 30 juillet 2021</w:t>
      </w:r>
    </w:p>
    <w:p>
      <w:r>
        <w:t>IT: GE_GERICHTE ACPR/559/2021 del 30 luglio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qui la concernait (art. 382 al. 1 CPP).</w:t>
      </w:r>
    </w:p>
    <w:p>
      <w:r>
        <w:rPr>
          <w:b/>
        </w:rPr>
        <w:t>E. 2</w:t>
      </w:r>
    </w:p>
    <w:p>
      <w:r>
        <w:t>Le recourant reproche au TMC un défaut de motivation de l'ordonnance querellée pour avoir repris, pratiquement tels quels, les quatre paragraphes de la demande du Ministère public justifiant les risques de fuite et de réitération, en ne tenant compte d'aucune façon de ses arguments et d'avoir rejeté les mesures de substitution proposées "en bloc" sans analyse concrète. Il y voit la violation de son droit d'être entendu.</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p. 183 ; 138 I 232 consid. 5.1; arrêts du Tribunal fédéral 1B_74/2014 du 7 avril 2014 consid. 2.1; 1B_62/2014 du</w:t>
      </w:r>
    </w:p>
    <w:p>
      <w:r>
        <w:rPr>
          <w:b/>
        </w:rPr>
        <w:t>E. 2.2</w:t>
      </w:r>
    </w:p>
    <w:p>
      <w:r>
        <w:t>En l'occurrence, si rien n'interdit à une autorité de faire intégralement sienne la motivation présentée à l'appui d'une requête (cf. ACPR/280/2018 du 23 mai 2018 consid. 3.), encore faut-il que l'autorité en question réponde aux objections du prévenu. Or, le TMC ne s'est pas prononcé sur les arguments soulevés par celui-ci dans ses observations, notamment par rapport à la caution. Quand bien même la Chambre de céans dispose d'un plein pouvoir de cognition, il appartient à l'autorité de première instance de statuer sur les demandes et griefs qui lui sont présentés, sous peine de vider de son sens le principe du double degré de juridiction. Dans la mesure toutefois où le recourant a pu à nouveau faire valoir ses moyens ici et où le principe de célérité commande qu'il soit statué rapidement sur sa cause, la violation du droit d'être entendu alléguée doit être considérée ici comme réparée. 3. Le recourant ne remet pas en question l'existence de charges suffisantes, de sorte qu'il n'y a pas lieu de s'y attarder.</w:t>
      </w:r>
    </w:p>
    <w:p>
      <w:r>
        <w:rPr>
          <w:b/>
        </w:rPr>
        <w:t>E. 4</w:t>
      </w:r>
    </w:p>
    <w:p>
      <w:r>
        <w:t>avril 2014 consid. 2.2). 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w:t>
      </w:r>
    </w:p>
    <w:p>
      <w:r>
        <w:t>- 7/11 - P/13362/2021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w:t>
      </w:r>
    </w:p>
    <w:p>
      <w:r>
        <w:t>- 8/11 - P/13362/2021 consid. 3.2 p. 23 ; 128 I 149 consid. 2.1 p. 151 ; 123 I 31 consid. 3c p. 35 et les références).</w:t>
      </w:r>
    </w:p>
    <w:p>
      <w:r>
        <w:rPr>
          <w:b/>
        </w:rPr>
        <w:t>E. 4.2</w:t>
      </w:r>
    </w:p>
    <w:p>
      <w:r>
        <w:t>En l’espèce, il est manifeste qu’il subsiste en l’état un risque de collusion important avec les sept plaignants, dont certains n'ont pas de titre de séjour valable et sont en situation précaire, lesquels doivent être entendus en audience contradictoire. Bien qu'ils aient déjà été entendus par la police, il convient d'éviter toutes influences sur leurs témoignages ainsi que toutes représailles. Il convient également d'entendre la famille du prévenu avant qu'il ne soit remis en liberté afin d'assurer, tant que faire se peut, que ses déclarations ne soient pas concertées; celle-ci pouvant, cependant, être entendue par la police.</w:t>
      </w:r>
    </w:p>
    <w:p>
      <w:r>
        <w:rPr>
          <w:b/>
        </w:rPr>
        <w:t>E. 5</w:t>
      </w:r>
    </w:p>
    <w:p>
      <w:r>
        <w:t>L’admission de ce risque dispense d’examiner s’il existe, en sus, un risque de fuite.</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6.2</w:t>
      </w:r>
    </w:p>
    <w:p>
      <w:r>
        <w:t>En l’occurrence, le recourant propose une interdiction de contact avec ses employés, voire de se rendre dans l'appartement sous-loué. Une telle mesure n’apparaît à l’évidence pas suffisante, étant relevé que le prévenu pourrait tenter de contacter les plaignants par des tiers. En outre, cette mesure serait inefficace pour pallier le risque avec sa famille. Les autres mesures proposées, ne sont pas propres à pallier ce risque.</w:t>
      </w:r>
    </w:p>
    <w:p>
      <w:r>
        <w:rPr>
          <w:b/>
        </w:rPr>
        <w:t>E. 7</w:t>
      </w:r>
    </w:p>
    <w:p>
      <w:r>
        <w:t>La détention provisoire du recourant est proportionnée en l’état. Cela étant, le Procureur devra effectuer les auditions dans le délai imparti par le TMC, les autres actes d'instruction (analyses bancaires, comptables et téléphoniques) ne justifiant pas, en l'état actuel du dossier, le maintien en détention; ce d'autant plus que le recourant n'a pas eu accès aux plaintes et déclarations des personnes entendues.</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w:t>
      </w:r>
    </w:p>
    <w:p>
      <w:r>
        <w:t>- 9/11 - P/13362/2021</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 contra : HARARI/JAKOB/ SANTAMARIA, in Commentaire romand, Code de procédure pénale suisse, 2ème éd. 2019, nos 1a et 1b ad art. 134 CPP et les autres références de doctrine).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10.2</w:t>
      </w:r>
    </w:p>
    <w:p>
      <w:r>
        <w:t>En l'occurrence, quand bien même le recourant succombe, on peut admettre que l'exercice du présent recours ne procède pas d'un abus. L'indemnité sera fixée en fin de procédure (art. 135 al. 2 CPP). * * * * *</w:t>
      </w:r>
    </w:p>
    <w:p>
      <w:r>
        <w:t>- 10/11 - P/13362/2021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