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ACPR/558/2021 vom 5. März 2021</w:t>
      </w:r>
    </w:p>
    <w:p>
      <w:r>
        <w:t>GE Cour de justice, 2021-03-05, FR</w:t>
      </w:r>
    </w:p>
    <w:p>
      <w:r>
        <w:rPr>
          <w:b/>
        </w:rPr>
        <w:t xml:space="preserve">Quelle: </w:t>
      </w:r>
      <w:r>
        <w:t>https://mcp.opencaselaw.ch/entscheid/ge_gerichte_ACPR_558_2021</w:t>
      </w:r>
    </w:p>
    <w:p>
      <w:r>
        <w:t>FR: GE_GERICHTE ACPR/558/2021 du 5 mars 2021</w:t>
      </w:r>
    </w:p>
    <w:p>
      <w:r>
        <w:t>IT: GE_GERICHTE ACPR/558/2021 del 5 marzo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par la recourante devant la Chambre de céans est également recevable, tout comme le numéro de téléphone fixe de L______ présenté dans son recours (arrêt du Tribunal fédéral 1B_368/2014 du 5 février 2015 consid. 3.2 in fine).</w:t>
      </w:r>
    </w:p>
    <w:p>
      <w:r>
        <w:rPr>
          <w:b/>
        </w:rPr>
        <w:t>E. 2</w:t>
      </w:r>
    </w:p>
    <w:p>
      <w:r>
        <w:t>La recourante reproche au Ministère public de ne pas être entré en matière sur sa plainte et plus particulièrement, de n'avoir pas procédé aux divers actes d'enquête qu'elle sollicite.</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(L. MOREILLON / A. PAREIN-REYMOND, Petit commentaire CPP, Bâle 2016, n. 6 ad art. 310; Y. JEANNERET / A. KUHN / C. PERRIER DEPEURSINGE (éds), Commentaire romand : Code de procédure pénale suisse, 2ème éd., Bâle 2019, n. 9, ad art. 310).</w:t>
      </w:r>
    </w:p>
    <w:p>
      <w:r>
        <w:rPr>
          <w:b/>
        </w:rPr>
        <w:t>E. 2.2</w:t>
      </w:r>
    </w:p>
    <w:p>
      <w:r>
        <w:t>En l'espèce, malgré l'ancienneté des faits, le dossier contient des informations concrètes, à savoir des numéros de téléphone et une adresse de domicile. Il s'agit de données utiles pour l'identification des personnes recherchées et doivent par</w:t>
      </w:r>
    </w:p>
    <w:p>
      <w:r>
        <w:t>- 6/8 - P/20669/2020 conséquent être exploitées. À cela s'ajoute la gravité des actes reprochés, laquelle fonde un intérêt tout particulier à la recherche de l'auteur présumé. Un acte d'enquête rendu possible grâce aux éléments présents dans le dossier ne saurait donc a priori être écarté au seul motif que les faits paraissent anciens. En d'autres termes, toutes démarches utiles et proportionnées découlant des informations en main des autorités pénales doivent être entreprises, tant qu'il n'est pas exclu qu'elles puissent conduire à un résultat. Or, plusieurs actes d'enquête apparaissent en l'espèce susceptibles d'apporter des éléments nouveaux. Par exemple, il demeure possible de se renseigner auprès de la régie si un lien contractuel – ou même factuel – existait entre 2005 et 2007 avec des ressortissants philippins, éventuellement prénommés K______ et/ou J______ pour un appartement dans l'immeuble situé à l'adresse désignée. Ou encore, de se renseigner auprès des opérateurs téléphoniques pour savoir si les numéros de raccordement à disposition permettent d'identifier leur détenteur de l'époque. L'apport de la liste des locataires de l'immeuble entre 2005 et 2007 permettrait de déterminer si des occupants de l'époque sont toujours présents à cette adresse et, dans l'affirmative, procéder à une enquête de voisinage pour recueillir d'éventuelles informations utiles sur K______ et/ou J______. En outre, il y a lieu d'exploiter le numéro de téléphone fixe de L______, récemment retrouvé par la recourante, pour essayer d'identifier sa détentrice de l'époque. L'ordonnance querellée n'étant pas définitive, la recourante ne saurait se voir opposer les conditions de l'art. 323 CPP. Enfin, on ne voit pas ce qui empêche Ministère public d'adresser un ordre de dépôt aux HUG afin d'obtenir le nom de l'occupante philippine de la chambre n° 6______ le 15 juillet 2007. S'il devait se voir opposer l'ancienneté de l'évènement, au moins serait-il fixé sur ce point. Si les HUG devaient se prévaloir d'un secret médical, cet obstacle pourrait, éventuellement, être levé par une demande à la Commission ad hoc. En définitive, tous les moyens pour identifier l'auteur de l'infraction reprochée n'ont pas été épuisés en l'état. Le refus d'entrer en matière est ainsi prématuré, dès lors que plusieurs pistes, sans égard à leurs chances de succès à ce stade, peuvent encore être raisonnablement explorées.</w:t>
      </w:r>
    </w:p>
    <w:p>
      <w:r>
        <w:t>- 7/8 - P/20669/2020</w:t>
      </w:r>
    </w:p>
    <w:p>
      <w:r>
        <w:rPr>
          <w:b/>
        </w:rPr>
        <w:t>E. 3</w:t>
      </w:r>
    </w:p>
    <w:p>
      <w:r>
        <w:t>Fondé, le recours doit être admis. Partant, l'ordonnance querellée sera annulée et la cause renvoyée au Ministère public pour un complément d'enquête (art. 309 al. 2 CPP).</w:t>
      </w:r>
    </w:p>
    <w:p>
      <w:r>
        <w:rPr>
          <w:b/>
        </w:rPr>
        <w:t>E. 4</w:t>
      </w:r>
    </w:p>
    <w:p>
      <w:r>
        <w:t>L'admission du recours ne donne pas lieu à la perception de frais (art. 428 al. 1 CPP), et les sûretés versées, seront restituées à la recourante.</w:t>
      </w:r>
    </w:p>
    <w:p>
      <w:r>
        <w:rPr>
          <w:b/>
        </w:rPr>
        <w:t>E. 5</w:t>
      </w:r>
    </w:p>
    <w:p>
      <w:r>
        <w:t>La recourante, partie plaignante, qui a gain de cause, conclut à une indemnité à titre de dépens chiffrée à CHF 3'257.90 TTC, pour six heures trente-cinq d'activités à CHF 450.- l'heure, dont cinq heures dédiées à la rédaction du recours. À cela s'ajoute quinze minutes consacrées à la préparation du bordereau de pièces, à CHF 250.- l'heure.</w:t>
      </w:r>
    </w:p>
    <w:p>
      <w:r>
        <w:rPr>
          <w:b/>
        </w:rPr>
        <w:t>E. 5.1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5.2</w:t>
      </w:r>
    </w:p>
    <w:p>
      <w:r>
        <w:t>En l'occurrence, le recours contient douze pages (pages de garde et de conclusions comprises), dont la moitié résume la procédure et les déclarations de la plaignante et de sa mère, et développe surtout des considérations factuelles sur la faisabilité des actes d'enquêtes sollicités. Le temps consacré paraît ainsi excessif. L'indemnité, à la charge de l'État, sera donc fixée à CHF 1'934.- (correspondant à quatre heures à CHF 450.-), TVA à 7.7% incluse, y compris une indemnité pour la réplique rendue nécessaire par les observations du Ministère public. * * * * *</w:t>
      </w:r>
    </w:p>
    <w:p>
      <w:r>
        <w:t>- 8/8 - P/20669/2020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