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ACPR/556/2022 vom 25. Februar 2022</w:t>
      </w:r>
    </w:p>
    <w:p>
      <w:r>
        <w:t>GE Cour de justice, 2022-02-25, FR</w:t>
      </w:r>
    </w:p>
    <w:p>
      <w:r>
        <w:rPr>
          <w:b/>
        </w:rPr>
        <w:t xml:space="preserve">Quelle: </w:t>
      </w:r>
      <w:r>
        <w:t>https://mcp.opencaselaw.ch/entscheid/ge_gerichte_ACPR_556_2022</w:t>
      </w:r>
    </w:p>
    <w:p>
      <w:r>
        <w:t>FR: GE_GERICHTE ACPR/556/2022 du 25 février 2022</w:t>
      </w:r>
    </w:p>
    <w:p>
      <w:r>
        <w:t>IT: GE_GERICHTE ACPR/556/2022 del 25 febbraio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mise à sa charge des frais de la procédure classée et, partant le refus d'indemnisation.</w:t>
      </w:r>
    </w:p>
    <w:p>
      <w:r>
        <w:rPr>
          <w:b/>
        </w:rPr>
        <w:t>E. 2.1</w:t>
      </w:r>
    </w:p>
    <w:p>
      <w:r>
        <w:t>Aux termes de l'art. 429 al. 1 CPP, le prévenu acquitté totalement ou en partie ou au bénéfice d'un classement a notamment droit à une indemnité pour les dépenses occasionnées par l'exercice raisonnable de ses droits de procédure (let. a).</w:t>
      </w:r>
    </w:p>
    <w:p>
      <w:r>
        <w:t>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137 IV 352 consid. 2.4.2).</w:t>
      </w:r>
    </w:p>
    <w:p>
      <w:r>
        <w:rPr>
          <w:b/>
        </w:rPr>
        <w:t>E. 2.2</w:t>
      </w:r>
    </w:p>
    <w:p>
      <w:r>
        <w:t>Selon l'art. 426 al. 2 CPP, lorsque la procédure fait l’objet d’une ordonnance de classement ou que le prévenu est acquitté, tout ou partie des frais de procédure</w:t>
      </w:r>
    </w:p>
    <w:p>
      <w:r>
        <w:t>- 5/8 - P/12483/2020 peuvent être mis à sa charge s’il a, de manière illicite et fautive, provoqué l’ouverture de la procédure ou rendu plus difficile la conduite de celle-ci.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du Tribunal fédéral 6B_301/2017 du 20 février 2019 consid. 1.1; cf. art. 426 al. 3 let. a CPP). Le juge ne peut fonder sa décision que sur des faits incontestés ou déjà clairement établis. La mise des frais à la charge du prévenu en cas d'acquittement ou de classement de la procédure doit en effet rester l'exception (ATF 144 IV 202 consid. 2.2 et les références citées).</w:t>
      </w:r>
    </w:p>
    <w:p>
      <w:r>
        <w:rPr>
          <w:b/>
        </w:rPr>
        <w:t>E. 2.3</w:t>
      </w:r>
    </w:p>
    <w:p>
      <w:r>
        <w:t>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ATF 116 Ia 162 consid. 2c; arrêts 6B_556/2017 du 15 mars 2018 consid. 2.1; 6B_301/2017 du 20 février 2018 consid. 1.1).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p. 61 et l'arrêt cité ;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w:t>
      </w:r>
    </w:p>
    <w:p>
      <w:r>
        <w:t>- 6/8 - P/12483/2020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arrêt 6B_301/2017 précité consid. 1.1; cf. art. 426 al. 3 let. a CPP). Le juge ne peut fonder sa décision que sur des faits incontestés ou déjà clairement établis. La mise des frais à la charge du prévenu en cas d'acquittement ou de classement de la procédure doit en effet rester l'exception (ATF 144 IV 202 consid. 2.2 et les références citées).</w:t>
      </w:r>
    </w:p>
    <w:p>
      <w:r>
        <w:rPr>
          <w:b/>
        </w:rPr>
        <w:t>E. 2.4</w:t>
      </w:r>
    </w:p>
    <w:p>
      <w:r>
        <w:t>L'art. 177 al. 1 CP punit, sur plainte, celui qui aura, par la parole, l'écriture, l'image, le geste ou par des voies de fait, attaqué autrui dans son honneur.</w:t>
      </w:r>
    </w:p>
    <w:p>
      <w:r>
        <w:rPr>
          <w:b/>
        </w:rPr>
        <w:t>E. 2.5</w:t>
      </w:r>
    </w:p>
    <w:p>
      <w:r>
        <w:t>Conformément à l'art. 59 let a de la Loi sur le transport de voyageurs du 20 mars 2009 (ci-après : LTV, RS 745.1), les infractions prévues par le code pénal sont poursuivies d'office lorsqu'elles sont commises contre les employés des entreprises qui disposent d'une concession ou d'une autorisation selon les art. 6 à 8, dans l'exercice de leurs fonctions.</w:t>
      </w:r>
    </w:p>
    <w:p>
      <w:r>
        <w:rPr>
          <w:b/>
        </w:rPr>
        <w:t>E. 2.6</w:t>
      </w:r>
    </w:p>
    <w:p>
      <w:r>
        <w:t>En l'espèce, la procédure a fait l'objet d'un classement partiel pour l'infraction à l'art. 177 CP. Il ressort des faits dénoncés que le geste susceptible d'être qualifié d'injure – doigt d'honneur – aurait été destiné à C______, conducteur de bus de l'entreprise TPG. Cette dernière est bénéficiaire d'une concession au sens de l'art. 6 LTV sur le territoire genevois – art. 80 al. 2 Ordonnance sur le transport de voyageurs du 4 novembre 2009 (RS 745.11) cum le "Répertoire ET" de l'Office fédéral des transports – de sorte que la LTV, en particulier l'art. 59, est applicable dans le cas présent. Partant, l'infraction dénoncée par les TPG était poursuivie d'office. Dans ces circonstances, le Ministère public ne pouvait conclure à un empêchement de procéder par suite du "retrait" de plainte de C______.</w:t>
      </w:r>
    </w:p>
    <w:p>
      <w:r>
        <w:rPr>
          <w:b/>
        </w:rPr>
        <w:t>E. 2.7</w:t>
      </w:r>
    </w:p>
    <w:p>
      <w:r>
        <w:t>Cela étant dit, le classement étant désormais définitif, le recours a pour seul objet la question de la mise à la charge des frais de la procédure et le refus d'indemnisation. À cet égard, le Ministère public considère qu'il se justifie de mettre les frais de la procédure à la charge du recourant, étant convaincu que celui-ci aurait réalisé le geste incriminé, lequel contrevenait à la norme de comportement prescrit à l'art. 28 CC. Or, le recourant a d'emblée contesté les faits reprochés et aucun élément objectif</w:t>
      </w:r>
    </w:p>
    <w:p>
      <w:r>
        <w:t>- 7/8 - P/12483/2020 ne permet de retenir le contraire. Le Ministère public ne pouvait ainsi, sans autre élément, retenir qu'il serait l'auteur du comportement incriminé. Il n'y a donc pas lieu de condamner le prévenu aux frais de la procédure par-devant le Ministère public, lesquels doivent donc être mis à la charge de l'État (art. 423 CPP).</w:t>
      </w:r>
    </w:p>
    <w:p>
      <w:r>
        <w:rPr>
          <w:b/>
        </w:rPr>
        <w:t>E. 3</w:t>
      </w:r>
    </w:p>
    <w:p>
      <w:r>
        <w:t>Reste à déterminer si le recourant a droit à une indemnité.</w:t>
      </w:r>
    </w:p>
    <w:p>
      <w:r>
        <w:rPr>
          <w:b/>
        </w:rPr>
        <w:t>E. 3.1</w:t>
      </w:r>
    </w:p>
    <w:p>
      <w:r>
        <w:t>L'indemnité de l'art. 429 al. 1 let. a CPP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3.2</w:t>
      </w:r>
    </w:p>
    <w:p>
      <w:r>
        <w:t>Le recourant aurait droit, sur le principe, à une indemnisation au sens de l'art. 429 CPP. Cependant, la procédure par-devant le Ministère public a consisté, pour le recourant, à former opposition à l'ordonnance pénale du 20 avril 2021 – dont il n'est pas nécessaire qu'elle soit motivée – et, lors de l'audience qui s'est ensuivie, à confirmer ses déclarations à la police, soit en substance à nier être l'auteur du geste incriminé. Ces actes ne nécessitaient pas l'assistance d'un conseil de sorte qu'aucune indemnité ne sera allouée au recourant pour la procédure préliminaire.</w:t>
      </w:r>
    </w:p>
    <w:p>
      <w:r>
        <w:rPr>
          <w:b/>
        </w:rPr>
        <w:t>E. 4</w:t>
      </w:r>
    </w:p>
    <w:p>
      <w:r>
        <w:t>Partiellement fondé, le recours doit être admis et le chiffre 4 du dispositif de l'ordonnance querellée annulé.</w:t>
      </w:r>
    </w:p>
    <w:p>
      <w:r>
        <w:rPr>
          <w:b/>
        </w:rPr>
        <w:t>E. 5</w:t>
      </w:r>
    </w:p>
    <w:p>
      <w:r>
        <w:t>Les frais de la procédure de recours resteront à la charge de l'État (art. 428 al. 4 CPP).</w:t>
      </w:r>
    </w:p>
    <w:p>
      <w:r>
        <w:rPr>
          <w:b/>
        </w:rPr>
        <w:t>E. 6</w:t>
      </w:r>
    </w:p>
    <w:p>
      <w:r>
        <w:t>Le recourant sollicite, pour ses frais de défense en procédure de recours (art. 429 al. 1 let. a CPP par renvoi de l'art. 436 al. 1 CPP), une indemnité de CHF 1'250.-, correspondant à 5 heures d'activité d'avocat-stagiaire et 1 heure d'activité d'avocat. Il apparaît raisonnable d'allouer, à la charge de l'État, pour la rédaction du recours, une indemnité de CHF 450.- correspondant à 3 heures d'activité d'un avocat-stagiaire à CHF 150.- (tarif appliqué par la Cour de justice; AARP/65/2017 du 23 février 2017 consid. 5.1.). * * * * *</w:t>
      </w:r>
    </w:p>
    <w:p>
      <w:r>
        <w:t>- 8/8 - P/12483/2020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