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ACPR/556/2021 vom 22. April 2021</w:t>
      </w:r>
    </w:p>
    <w:p>
      <w:r>
        <w:t>GE Cour de justice, 2021-04-22, FR</w:t>
      </w:r>
    </w:p>
    <w:p>
      <w:r>
        <w:rPr>
          <w:b/>
        </w:rPr>
        <w:t xml:space="preserve">Quelle: </w:t>
      </w:r>
      <w:r>
        <w:t>https://mcp.opencaselaw.ch/entscheid/ge_gerichte_ACPR_556_2021</w:t>
      </w:r>
    </w:p>
    <w:p>
      <w:r>
        <w:t>FR: GE_GERICHTE ACPR/556/2021 du 22 avril 2021</w:t>
      </w:r>
    </w:p>
    <w:p>
      <w:r>
        <w:t>IT: GE_GERICHTE ACPR/556/2021 del 22 aprile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Ministère public de ne pas être entré en matière sur sa plainte pénale, estimant que les faits dénoncés pourraient être constitutifs de contrainte.</w:t>
      </w:r>
    </w:p>
    <w:p>
      <w:r>
        <w:rPr>
          <w:b/>
        </w:rPr>
        <w:t>E. 3.1</w:t>
      </w:r>
    </w:p>
    <w:p>
      <w:r>
        <w:t>À teneur de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p. 287 et les références citées). En d'autres termes, il doit être évident que les faits dénoncés ne tombent pas sous le coup de la loi pénale (ATF 137 IV 285 consid. 2.3. p. 287).</w:t>
      </w:r>
    </w:p>
    <w:p>
      <w:r>
        <w:t>- 5/10 - P/3425/2021 Le principe "in dubio pro duriore" découle du principe de la légalité (art. 5 al. 1 Cst. et 2 al. 2 CPP en relation avec les art. 19 al. 1 et 324 CPP ; ATF 138 IV 86 consid. 4.2 p. 91 ; arrêt du Tribunal fédéral 6B_185/2016 du 30 novembre 2016 consid. 2.1.2 et les références). Il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 ATF 138 IV 86 consid. 4.1.2 p. 91 ;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 Une non-entrée en matière vise aussi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Commentaire romand : Code de procédure pénale suisse, 2e éd., Bâle 2019, n. 9 ad art. 310; R. PFISTER-LIECHTI (éd.), La procédure pénale fédérale, Fondation pour la formation continue des juges suisses, Berne 2010, p. 62 ; DCPR/85/2011 du 27 avril 2011). 3.2.1. La plainte pénale est une déclaration de volonté inconditionnelle, par laquelle le lésé demande à l'autorité compétente d'introduire une poursuite pénale (ATF 128 IV 81 consid. 2a). Une plainte est valable au sens de l'art. 30 CP si l'ayant droit, avant l'échéance d'un délai de trois mois depuis que l'auteur de l'infraction lui est connu (art. 31 CP), manifeste, dans les formes et auprès des autorités compétentes selon l'art. 304 CPP, sa volonté inconditionnelle que l'auteur de l'infraction soit poursuivi et que la procédure pénale se poursuive sans autre déclaration de sa volonté. En règle générale, celui qui dépose plainte dénonce un état de fait déterminé, alors que la qualification juridique de l'acte appartient aux autorités. Si le plaignant énonce les éléments constitutifs qui, selon lui, sont réalisés, l'autorité n'est pas liée par cette qualification. Cela n'exclut en revanche pas que le plaignant limite sa plainte en n'indiquant que partiellement les faits pour lesquels il requiert une</w:t>
      </w:r>
    </w:p>
    <w:p>
      <w:r>
        <w:t>- 6/10 - P/3425/2021 poursuite pénale (arrêt du Tribunal fédéral 6B_1009/2014 du 2 avril 2015 consid. 2.1.1.). 3.2.2 Conformément à l'art. 174 ch. 1 CP, celui qui, connaissant la fausseté de ses allégations, aura, en s'adressant à un tiers, accusé une personne ou jeté sur elle le soupçon de tenir une conduite contraire à l'honneur, ou de tout autre fait propre à porter atteinte à sa considération, celui qui aura propagé de telles accusations ou de tels soupçons, alors qu'il en connaissait l'inanité, sera, sur plainte, puni d'une peine privative de liberté de trois ans au plus ou d'une peine pécuniaire. Sur le plan subjectif, la calomnie implique que l'auteur ait agi avec l'intention de tenir des propos attentatoires à l'honneur d'autrui et de les communiquer à des tiers, le dol éventuel étant à cet égard suffisant. Il doit, en outre, avoir su ses allégations fausses. 3.2.3. En vertu de l'art. 181 CP, se rend coupable de contrainte celui qui, en usant de violence envers une personne ou en la menaçant d'un dommage sérieux, ou en l'entravant de quelque autre manière dans sa liberté d'action, l'aura obligée à faire, à ne pas faire ou à laisser faire un acte.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106 IV 125 consid. 2a) ni que l'auteur ait réellement la volonté de réaliser sa menace (ATF 105 IV 120 consid. 2a; arrêts du Tribunal fédéral 6B_160/2017 du 13 décembre 2017 consid. 7.1; 6B_125/2017 du 27 octobre 2017 consid. 2.1). Selon la jurisprudence, la contrainte n'est contraire au droit que si elle est illicite (ATF 120 IV 17 consid. 2a p. 19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137 IV 326 consid. 3.3.1). Pour que la contrainte soit consommée, il faut que la victime, sous l'effet de moyens de contrainte illicites, commence à modifier son comportement, subissant ainsi l'influence voulue par l'auteur (arrêt du Tribunal fédéral 6B_719/2015 du 4 mai 2016 consid. 2.1). Lorsque la victime ne se laisse pas intimider et n'adopte pas le comportement voulu par l'auteur, ce dernier est punissable de tentative de contrainte (art. 22 al. 1 CP; ATF 129 IV 262; 106 IV 125 consid. 2b).</w:t>
      </w:r>
    </w:p>
    <w:p>
      <w:r>
        <w:t>- 7/10 - P/3425/2021 Menacer de déposer une plainte pénale constitue en principe un acte licite. Il en découle que celui qui, étant victime d'une infraction, menace de déposer une plainte pénale afin d'obtenir la réparation du préjudice subi ne commet en principe pas de contrainte au sens de l'art. 181 CP. L'illicéité n'est avérée que si le moyen n'est pas dans un rapport raisonnable avec le but visé et constitue un moyen de pression abusif. Cette condition est en particulier réalisée si l'objet de la plainte pénale est sans rapport avec la prestation demandée ou si la menace doit permettre d'obtenir un avantage indu (ATF 120 IV 17 consid. 2a/bb p. 20; ATF 115 IV 207 consid. 2b/cc p. 214; arrêt du Tribunal fédéral 6B_124/2017 du 27 octobre 2017 consid. 2.1).</w:t>
      </w:r>
    </w:p>
    <w:p>
      <w:r>
        <w:rPr>
          <w:b/>
        </w:rPr>
        <w:t>E. 3.3</w:t>
      </w:r>
    </w:p>
    <w:p>
      <w:r>
        <w:t>En l'espèce, le Ministère public a examiné les faits dénoncés sous l'angle de la calomnie et a considéré, à juste titre, que les éléments constitutifs de cette infraction n’étaient pas réalisés, puisque aucun tiers n'était présent lors de la conversation téléphonique et que la mise en cause ne s'adressait qu'au recourant. Partant, l’ordonnance de non-entrée en matière est justifiée sous cet angle. Reste à examiner si le comportement dénoncé pourrait réaliser les éléments constitutifs d'une contrainte. Le recourant se garde d'expliquer, comme cela lui incombait pourtant (art. 385 al. 1 let. b CPP), quel était le comportement que son ex-compagne voulait lui voir adopter et pourquoi elle aurait par-là réalisé, plutôt que tenté, de commettre l'infraction précitée. Or, même dans la version du recourant, il apparaît que la mise en cause cherchait avant tout à le faire cesser de "mentir" auprès de l'enseignant de leur fille. Un tel but n'a rien d'illicite. En revanche, menacer, dans ce but, de déposer plainte pour des faits imaginaires pourrait l'être davantage. Cela étant, la mise en cause donne une tout autre version des termes qu'elle aurait utilisés. Selon elle, face aux reproches du recourant – qu’elle estime mensongers –, elle lui aurait répondu de manière hypothétique et sans prétendre vouloir agir en justice contre lui : "puisque toi tu n’arrêtes pas de raconter des mensonges sur moi, vu qu’on en arrive là moi aussi je pourrais aller raconter que toi tu fais des attouchements sur notre fille". Objectivement, on décèle dans de tels propos avant tout un agacement lié au comportement prêté au recourant, sans que les termes utilisés – et notamment l'usage du conditionnel ("… je pourrais…") – ne comportent une menace de déposer une plainte pénale. Cette réaction et ces paroles de la mise en cause s'appréhendent plutôt comme un exemple de mensonge qu’elle serait prête à proférer, si le recourant ne cessait pas les siens. Or, c'est exactement ce que celui-ci affirmait d'emblée dans sa plainte pénale ("elle m'a dit que, comme je mentais, elle allait le faire aussi").</w:t>
      </w:r>
    </w:p>
    <w:p>
      <w:r>
        <w:t>- 8/10 - P/3425/2021 En conclusion, force est de constater que la teneur des propos incriminés est profondément divergente sur la menace d'une plainte pénale contre le recourant. Comme l'entretien téléphonique litigieux eut lieu sans témoin, aucun acte d'enquête ne permettrait de privilégier l’une des versions plutôt que l’autre. Le recourant ne suggère qu'une confrontation, mais il est raisonnable de penser que les deux parties camperaient sur leurs positions. Pour le surplus, il ressort du rapport de police que le recourant n'a déposé qu'une "main courante", le 18 janvier 2021, et non une plainte pénale formelle, à raison des propos que la mise en cause aurait tenus à sa mère par téléphone. Il ne se prévaut d'ailleurs pas de ces faits dans l'acte de recours – puisqu'il renvoie à ceux retenus dans la décision querellée, qui n'en fait pas mention –. Il n'y a donc pas à aborder cet aspect. Dès lors, faute de charges suffisantes, l'ordonnance de non-entrée en matière serait également justifiée, dans son résultat, sous l’angle de la (tentative de) contrainte.</w:t>
      </w:r>
    </w:p>
    <w:p>
      <w:r>
        <w:rPr>
          <w:b/>
        </w:rPr>
        <w:t>E. 4</w:t>
      </w:r>
    </w:p>
    <w:p>
      <w:r>
        <w:t>Le recours doit ainsi être intégralement rejeté.</w:t>
      </w:r>
    </w:p>
    <w:p>
      <w:r>
        <w:rPr>
          <w:b/>
        </w:rPr>
        <w:t>E. 5</w:t>
      </w:r>
    </w:p>
    <w:p>
      <w:r>
        <w:t>Le recourant, qui succombe, supportera les frais envers l'État, arrêtés à CHF 900.-, émolument de décision compris (art. 428 al. 1 CPP et 13 al. 1 du Règlement fixant le tarif des frais en matière pénale, RTFMP ; E 4 10.03). * * * * *</w:t>
      </w:r>
    </w:p>
    <w:p>
      <w:r>
        <w:t>- 9/10 - P/3425/2021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