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ACPR/556/2020 vom 29. Juni 2020</w:t>
      </w:r>
    </w:p>
    <w:p>
      <w:r>
        <w:t>GE Cour de justice, 2020-06-29, FR</w:t>
      </w:r>
    </w:p>
    <w:p>
      <w:r>
        <w:rPr>
          <w:b/>
        </w:rPr>
        <w:t xml:space="preserve">Quelle: </w:t>
      </w:r>
      <w:r>
        <w:t>https://mcp.opencaselaw.ch/entscheid/ge_gerichte_ACPR_556_2020</w:t>
      </w:r>
    </w:p>
    <w:p>
      <w:r>
        <w:t>FR: GE_GERICHTE ACPR/556/2020 du 29 juin 2020</w:t>
      </w:r>
    </w:p>
    <w:p>
      <w:r>
        <w:t>IT: GE_GERICHTE ACPR/556/2020 del 29 giugno 2020</w:t>
      </w:r>
    </w:p>
    <w:p>
      <w:pPr>
        <w:pStyle w:val="Heading2"/>
      </w:pPr>
      <w:r>
        <w:t>Erwägungen</w:t>
      </w:r>
    </w:p>
    <w:p>
      <w:r>
        <w:rPr>
          <w:b/>
        </w:rPr>
        <w:t>E. 1</w:t>
      </w:r>
    </w:p>
    <w:p>
      <w:r>
        <w:t>Le recours est recevable pour avoir été déposé dans le délai et la forme prescrits (art. 90 al. 2, 385 al. 1 et 396 al. 1 CPP), concerner une décision du Tribunal de police sujette à recours auprès de la Chambre de céans (art. 393 al. 1 let. b CPP ; arrêts du Tribunal fédéral 6B_346/2011 du 1er juillet 2011 consid. 4.2 et 6B_801/2013 du 17 décembre 2013 consid. 1.1) et émaner de la prévenue, qui a qualité pour agir (art. 104 al. 1 let. a, 111 et 382 al. 1 CPP) et un intérêt juridiquement protégé à l'annulation ou la modification de l'ordonnance entreprise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2.3</w:t>
      </w:r>
    </w:p>
    <w:p>
      <w:r>
        <w:t>p. 84 et 2.6 p. 86; arrêts du Tribunal fédéral 6B_365/2018 du 5 juillet 2018 consid. 3.1; 6B_802/2017 du 24 janvier 2018 consid. 2.1). La fiction légale du retrait ne peut s'appliquer que si l'on peut déduire de bonne foi (art. 3 al. 2 let. a CPP) du défaut non excusé un désintérêt pour la suite de la procédure, lorsque l'opposant a conscience des conséquences de son omission et renonce à ses droits en connaissance de cause (arrêt du Tribunal fédéral 6B_801/2019 du 21 novembre 2019 destiné à la publication, consid. 1.1.1). Demeurent réservés les cas d'abus de droit (ATF 142 IV 158 consid. 3.4 p. 162; 140 IV 82 consid. 2.7 p. 86).</w:t>
      </w:r>
    </w:p>
    <w:p>
      <w:r>
        <w:rPr>
          <w:b/>
        </w:rPr>
        <w:t>E. 3.1</w:t>
      </w:r>
    </w:p>
    <w:p>
      <w:r>
        <w:t>Selon l'art. 356 al. 2 CPP, en cas d'opposition à une ordonnance pénale rendue par le Ministère public, le Tribunal de première instance – en l'occurrence le Tribunal de police – statue sur la validité de l'ordonnance pénale et de l'opposition à celle-ci.</w:t>
      </w:r>
    </w:p>
    <w:p>
      <w:r>
        <w:rPr>
          <w:b/>
        </w:rPr>
        <w:t>E. 3.2</w:t>
      </w:r>
    </w:p>
    <w:p>
      <w:r>
        <w:t>À teneur de l'art. 356 al. 4 CPP, si l'opposant à une ordonnance pénale fait défaut aux débats devant le tribunal de première instance sans être excusé et sans se faire représenter, son opposition est réputée retirée. Toutefois, à la différence de ce que prévoit l'art. 355 al. 2 CPP pour la procédure d'opposition devant le ministère public, l'opposant qui fait défaut aux débats devant le Tribunal a le droit de se faire représenter, à moins que, lorsqu'il est prévenu, sa présence n'ait, comme en l'espèce, été exigée (Message relatif à l'unification du droit de la procédure pénale (CPP) du 21 décembre 2005, FF 2006 1275 ; arrêts du Tribunal fédéral 6B_289/2013 du 6 mai 2014 consid. 12.2 et références citées ; 6B_747/2012 du 7 février 2014 consid. 3.3).</w:t>
      </w:r>
    </w:p>
    <w:p>
      <w:r>
        <w:rPr>
          <w:b/>
        </w:rPr>
        <w:t>E. 3.3</w:t>
      </w:r>
    </w:p>
    <w:p>
      <w:r>
        <w:t>L'art. 356 al. 4 CPP consacre une fiction légale de retrait de l'opposition en cas de défaut injustifié, à l'instar de l'art. 355 al. 2 CPP, auquel elle correspond (ATF 142 IV 158 consid. 3.1 p. 160 et 3.5 p. 162). Eu égard aux spécificités de la procédure de l'ordonnance pénale, l'art. 356 al. 4 CPP doit être interprété à la lumière de la garantie constitutionnelle (art. 29a Cst.) et conventionnelle (art. 6 par. 1 CEDH) de l'accès au juge, dont l'opposition (art. 354 CPP) vise à assurer le respect en</w:t>
      </w:r>
    </w:p>
    <w:p>
      <w:r>
        <w:t>- 5/8 - P/8490/2020 conférant à la personne concernée la faculté de soumettre sa cause à l'examen d'un tribunal (cf. ATF 142 IV 158 consid. 3.1 p. 159 s. et 3.4 p. 161 s.; 140 IV 82 consid.</w:t>
      </w:r>
    </w:p>
    <w:p>
      <w:r>
        <w:rPr>
          <w:b/>
        </w:rPr>
        <w:t>E. 3.4</w:t>
      </w:r>
    </w:p>
    <w:p>
      <w:r>
        <w:t>L'art. 356 al. 4 CPP ne définit pas à quelles conditions un empêchement peut être considéré comme excusé ou non. Conformément à l'art. 94 al. 1 CPP, applicable par analogie, une partie peut demander la restitution du délai si elle a été empêchée de l'observer et qu'elle est de ce fait exposée à un préjudice important et irréparable. Elle doit toutefois rendre vraisemblable que le défaut n'est imputable à aucune faute de sa part. Un empêchement subjectif suffit. La jurisprudence admettant que cette norme permet à l'opposant défaillant de demander la restitution du terme de comparution (arrêt du Tribunal fédéral 6B_360/2013 du 3 octobre 2013 consid. 3.3), il n'y a pas de raison de se montrer plus sévère à l'égard de l'opposant qui annonce son absence et demande le renvoi avant les débats. La doctrine relative à l'art. 205 CPP - dont on peut s'inspirer ici - mentionne, comme motifs d'excuse, la maladie, le service militaire ou l'absence à l'étranger,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(éds), Commentaire romand : Code de procédure pénale suisse, Bâle 2019, n. 4 ad art. 205 ; M. NIGGLI / M. HEER / H. WIPRÄCHTIGER, Schweizerische Strafprozessordnung / Schweizerische Jugendstrafprozessordnung, Basler Kommentar StPO/JStPO, Bâle 2011, n. 6 ad art. 205).</w:t>
      </w:r>
    </w:p>
    <w:p>
      <w:r>
        <w:rPr>
          <w:b/>
        </w:rPr>
        <w:t>E. 3.5</w:t>
      </w:r>
    </w:p>
    <w:p>
      <w:r>
        <w:t>En l’espèce, la recourante a été citée à comparaître personnellement par le Tribunal de police lequel attiré son attention sur les conséquences d'un défaut. Elle s'est, en toute connaissance de cause, abstenue de se présenter, considérant sa présence inutile, alors même que le Tribunal lui avait précisé le maintien de l'audience. En outre, elle ne documente d'aucune manière son déplacement; son employeur, qui a confirmé son statut de salariée par attestation du 7 juillet 2020, ne fait aucune mention de déplacements professionnels prévus de longues dates et impossibles à reporter.</w:t>
      </w:r>
    </w:p>
    <w:p>
      <w:r>
        <w:t>- 6/8 - P/8490/2020 C'est à donc bon droit que le Tribunal de police a considéré que l'opposition était réputée retirée.</w:t>
      </w:r>
    </w:p>
    <w:p>
      <w:r>
        <w:rPr>
          <w:b/>
        </w:rPr>
        <w:t>E. 4</w:t>
      </w:r>
    </w:p>
    <w:p>
      <w:r>
        <w:t>Le recours est dès lors rejeté, sans que le Chambre de céans n'ait à se pencher sur le fond de la cause pour déterminer si la recourante avait bel et bien commis l'infraction reprochée.</w:t>
      </w:r>
    </w:p>
    <w:p>
      <w:r>
        <w:rPr>
          <w:b/>
        </w:rPr>
        <w:t>E. 5</w:t>
      </w:r>
    </w:p>
    <w:p>
      <w:r>
        <w:t>La recourante, qui succombe, supportera les frais envers l'État, qui comprendront un émolument de décision (art. 428 al. 1 CPP et 13 al. 1 du Règlement fixant le tarif des frais en matière pénale, RTFMP ; E 4 10.03), fixés en totalité à CHF 900.-. * * * * *</w:t>
      </w:r>
    </w:p>
    <w:p>
      <w:r>
        <w:t>- 7/8 - P/8490/2020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