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ACPR/555/2020 vom 2. März 2020</w:t>
      </w:r>
    </w:p>
    <w:p>
      <w:r>
        <w:t>GE Cour de justice, 2020-03-02, FR</w:t>
      </w:r>
    </w:p>
    <w:p>
      <w:r>
        <w:rPr>
          <w:b/>
        </w:rPr>
        <w:t xml:space="preserve">Quelle: </w:t>
      </w:r>
      <w:r>
        <w:t>https://mcp.opencaselaw.ch/entscheid/ge_gerichte_ACPR_555_2020</w:t>
      </w:r>
    </w:p>
    <w:p>
      <w:r>
        <w:t>FR: GE_GERICHTE ACPR/555/2020 du 2 mars 2020</w:t>
      </w:r>
    </w:p>
    <w:p>
      <w:r>
        <w:t>IT: GE_GERICHTE ACPR/555/2020 del 2 marzo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des ordonnances sujettes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- 4/8 - P/4371/2020</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sa plainte.</w:t>
      </w:r>
    </w:p>
    <w:p>
      <w:r>
        <w:rPr>
          <w:b/>
        </w:rPr>
        <w:t>E. 3.1</w:t>
      </w:r>
    </w:p>
    <w:p>
      <w:r>
        <w:t>Selon l'art. 310 al. 1 let. c CPP, le ministère public rend immédiatement une ordonnance de non-entrée en matière lorsque les conditions mentionnées à l'art. 8 imposent de renoncer à l'ouverture d'une poursuite pénale. Tel est notamment le cas si la culpabilité de l'auteur et les conséquences de son acte sont peu importantes (art. 52 CP).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soit notamment les circonstances personnelles de l'auteur, tels que les antécédents, la situation personnelle ou le comportement de l'auteur après l'infraction, mais aussi selon d'autres critères, comme le principe de célérité ou d'autres motifs d'atténuation de la peine indépendants de la faute (tels que l'écoulement du temps depuis la commission de l'infraction; ATF 135 IV 130 consid. 5.4). Si les conditions indiquées à l'art. 52 CP sont réunies, l'exemption par le juge est de nature impérative (ATF 135 IV 130 consid. 5.3.2).</w:t>
      </w:r>
    </w:p>
    <w:p>
      <w:r>
        <w:rPr>
          <w:b/>
        </w:rPr>
        <w:t>E. 3.2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w:t>
      </w:r>
    </w:p>
    <w:p>
      <w:r>
        <w:rPr>
          <w:b/>
        </w:rPr>
        <w:t>E. 3.3</w:t>
      </w:r>
    </w:p>
    <w:p>
      <w:r>
        <w:t>La calomnie (art. 174 CP) est une forme qualifiée de diffamation (art. 173 CP), dont elle se distingue en cela que les allégations attentatoires à l'honneur sont fausses et que l'auteur doit avoir eu connaissance de la fausseté de ses allégations.</w:t>
      </w:r>
    </w:p>
    <w:p>
      <w:r>
        <w:rPr>
          <w:b/>
        </w:rPr>
        <w:t>E. 3.4</w:t>
      </w:r>
    </w:p>
    <w:p>
      <w:r>
        <w:t>En l'espèce, il apparaît que les propos contenus dans les écrits dénoncés – en particulier ceux en lien avec les menaces, les injures, l'agression physique et la commission d'actes incestueux –, sont constitutifs d'une atteinte à l'honneur au sens des infractions précitées et ont été portés à la connaissance de tiers. Toutefois, rien n'indique que le mis en cause ne serait pas de bonne foi et que ses accusations auraient été proférées dans le but de nuire au recourant. L'on ne voit</w:t>
      </w:r>
    </w:p>
    <w:p>
      <w:r>
        <w:t>- 5/8 - P/4371/2020 d'ailleurs pas quel acte d'enquête serait susceptible d'apporter un quelconque élément complémentaire pertinent à cet égard, le recourant n'en proposant, au demeurant, aucun. Par ailleurs, les écrits, qui s'inscrivent dans le cadre d'un vif conflit familial préexistant, ont été adressés, certes à un tiers, mais néanmoins membre de la famille – D______, fille de E______ et sœur de A______ – et impliqué dans les tensions familiales liées à la prise en charge de la maman. En outre, s'agissant des "autres" tiers, dont on ignore le nombre et les identités, avec lesquels le mis en cause se serait entretenu à propos du recourant, il ressort du courrier du 31 octobre 2019, que celui- là n'avait pas la volonté de nuire à celui-ci, s'étant adressés auxdits tiers afin principalement de demander conseil, dans le cadre du conflit notoire impliquant les intéressés, et non pas de porter atteinte à l'image du recourant. Dès lors, tant au regard du but dans lequel le mis en cause s'est adressé à ceux-là que de la destinataire des courriers litigieux, on peut valablement considérer que la culpabilité du mis en cause est de peu d’importance. Il en va de même des conséquences du comportement de ce dernier dans la mesure où le recourant allègue une grave atteinte à sa réputation, sans pour autant l'étayer, et ne prétend pas à une quelconque autre conséquence. Partant, c'est à juste titre que le Ministère public a considéré que les conditions de l'art. 52 CP étaient réalisées et la décision querellée ne prête pas le flanc à la critique.</w:t>
      </w:r>
    </w:p>
    <w:p>
      <w:r>
        <w:rPr>
          <w:b/>
        </w:rPr>
        <w:t>E. 4</w:t>
      </w:r>
    </w:p>
    <w:p>
      <w:r>
        <w:t>Le recourant fait grief au Ministère public de ne pas lui avoir octroyé l'assistance judiciaire.</w:t>
      </w:r>
    </w:p>
    <w:p>
      <w:r>
        <w:rPr>
          <w:b/>
        </w:rPr>
        <w:t>E. 4.1</w:t>
      </w:r>
    </w:p>
    <w:p>
      <w:r>
        <w:t>Conformément à l'art. 136 al. 1 CPP, l'assistance judiciaire est accordée à la partie plaignante pour lui permettre de faire valoir ses prétentions civiles si elle est indigente (let. a) et si l'action civile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w:t>
      </w:r>
    </w:p>
    <w:p>
      <w:r>
        <w:rPr>
          <w:b/>
        </w:rPr>
        <w:t>E. 4.2</w:t>
      </w:r>
    </w:p>
    <w:p>
      <w:r>
        <w:t>En l'occurrence, en sa qualité de partie plaignante et dans la mesure où le recourant n'articule aucune prétention civile, se contentant d'alléguer subir une atteinte grave à sa réputation, et compte tenu qu'il a été jugé supra que son grief relatif à la décision de non-entrée en matière était juridiquement infondé, il ne sera pas mis au bénéfice de l'assistance judiciaire. En conséquence, la décision de refus d'octroi de l'assistance judiciaire ne souffre aucune critique.</w:t>
      </w:r>
    </w:p>
    <w:p>
      <w:r>
        <w:t>- 6/8 - P/4371/2020</w:t>
      </w:r>
    </w:p>
    <w:p>
      <w:r>
        <w:rPr>
          <w:b/>
        </w:rPr>
        <w:t>E. 5</w:t>
      </w:r>
    </w:p>
    <w:p>
      <w:r>
        <w:t>Justifiée, les ordonnances querellées seront donc confirmées.</w:t>
      </w:r>
    </w:p>
    <w:p>
      <w:r>
        <w:rPr>
          <w:b/>
        </w:rPr>
        <w:t>E. 6</w:t>
      </w:r>
    </w:p>
    <w:p>
      <w:r>
        <w:t>Le recourant, qui succombe, supportera les frais envers l'État, qui seront fixés en totalité à CHF 900.- (art. 428 al. 1 CPP et 13 al. 1 du Règlement fixant le tarif des frais en matière pénale, RTFMP ; E 4 10.03).</w:t>
      </w:r>
    </w:p>
    <w:p>
      <w:r>
        <w:rPr>
          <w:b/>
        </w:rPr>
        <w:t>E. 7</w:t>
      </w:r>
    </w:p>
    <w:p>
      <w:r>
        <w:t>Vu l'issue de la cause, la conclusion relative au versement d'une indemnité valant participation équitable aux honoraires d'avocat du recourant sera rejetée (art. 433 al. 1 let. a CPP a contrario). * * * * *</w:t>
      </w:r>
    </w:p>
    <w:p>
      <w:r>
        <w:t>- 7/8 - P/4371/2020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