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ACPR/552/2024 vom 16. Mai 2024</w:t>
      </w:r>
    </w:p>
    <w:p>
      <w:r>
        <w:t>GE Cour de justice, 2024-05-16, FR</w:t>
      </w:r>
    </w:p>
    <w:p>
      <w:r>
        <w:rPr>
          <w:b/>
        </w:rPr>
        <w:t xml:space="preserve">Quelle: </w:t>
      </w:r>
      <w:r>
        <w:t>https://mcp.opencaselaw.ch/entscheid/ge_gerichte_ACPR_552_2024</w:t>
      </w:r>
    </w:p>
    <w:p>
      <w:r>
        <w:t>FR: GE_GERICHTE ACPR/552/2024 du 16 mai 2024</w:t>
      </w:r>
    </w:p>
    <w:p>
      <w:r>
        <w:t>IT: GE_GERICHTE ACPR/552/2024 del 16 maggio 2024</w:t>
      </w:r>
    </w:p>
    <w:p>
      <w:pPr>
        <w:pStyle w:val="Heading2"/>
      </w:pPr>
      <w:r>
        <w:t>Erwägungen</w:t>
      </w:r>
    </w:p>
    <w:p>
      <w:r>
        <w:rPr>
          <w:b/>
        </w:rPr>
        <w:t>E. 1</w:t>
      </w:r>
    </w:p>
    <w:p>
      <w:r>
        <w:t>Le recours, formé pour déni de justice et retard injustifié à statuer, soit des griefs invocables en tout temps (art. 396 al. 2 CPP), a été déposé selon la forme prescrite (art. 393 et 396 al. 1 CPP) et émane du prévenu (art. 104 al. 1 let. a CPP). Il est donc recevable.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Les art. 5</w:t>
      </w:r>
    </w:p>
    <w:p>
      <w:r>
        <w:t>- 7/9 - P/22314/2020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130 IV 54 consid. 3.3.3).</w:t>
      </w:r>
    </w:p>
    <w:p>
      <w:r>
        <w:rPr>
          <w:b/>
        </w:rPr>
        <w:t>E. 2.2</w:t>
      </w:r>
    </w:p>
    <w:p>
      <w:r>
        <w:t>Il appartient au justiciable d'entreprendre ce qui est en son pouvoir pour que l'autorité fasse diligence, par exemple en l'invitant à accélérer la procédure et à statuer à bref délai, s'il veut pouvoir ensuite soulever ce grief devant l'autorité de recours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2.3</w:t>
      </w:r>
    </w:p>
    <w:p>
      <w:r>
        <w:t>En l'espèce, force est de constater que la procédure connaît une réelle inactivité depuis la dernière audience, le 30 novembre 2022, date à laquelle A______ a été mis en prévention complémentaire de blanchiment d'argent et invité à formuler ses éventuelles réquisitions de preuves. Nonobstant les injonctions de la Chambre de céans et du Tribunal fédéral dans leurs arrêts respectifs des 4 novembre 2022 et 1er juin 2023, le Ministère public n'a rien entrepris pour préciser les soupçons persistants et l'éventualité d'une confiscation de la résine saisie les 18 mai et 11 juin 2021. Indépendamment du fait qu'il n'a pas répondu aux nombreux courriers du recourant entre le 2 octobre 2023 et le 23 avril 2024, il n'explique en particulier pas pour quelle raison il envisage désormais, près de deux ans après le rapport complémentaire d'expertise du 19 août 2022, d'ordonner une nouvelle expertise complémentaire de cette résine. Par conséquent, un déni de justice et un retard injustifié sont réalisés. Le recours doit être admis.</w:t>
      </w:r>
    </w:p>
    <w:p>
      <w:r>
        <w:t>- 8/9 - P/22314/2020</w:t>
      </w:r>
    </w:p>
    <w:p>
      <w:r>
        <w:rPr>
          <w:b/>
        </w:rPr>
        <w:t>E. 3</w:t>
      </w:r>
    </w:p>
    <w:p>
      <w:r>
        <w:t>En pareil cas, la Chambre de céans peut donner des instructions au Ministère public, en lui impartissant un délai pour s’exécuter (art. 397 al. 4 CPP). À ce titre, le recourant demande que trente jours soient impartis au Ministère public pour qu’il effectue les actes d'instruction qu'il estime nécessaire pour terminer son enquête et rende un avis de prochaine clôture. Tel délai apparaît adéquat.</w:t>
      </w:r>
    </w:p>
    <w:p>
      <w:r>
        <w:rPr>
          <w:b/>
        </w:rPr>
        <w:t>E. 4</w:t>
      </w:r>
    </w:p>
    <w:p>
      <w:r>
        <w:t>Le recourant, qui a gain de cause, n’assumera pas de frais judiciaires (art. 423 al. 1 et 428 al. 1 CPP).</w:t>
      </w:r>
    </w:p>
    <w:p>
      <w:r>
        <w:rPr>
          <w:b/>
        </w:rPr>
        <w:t>E. 5</w:t>
      </w:r>
    </w:p>
    <w:p>
      <w:r>
        <w:t>Il prétend à une indemnité de CHF 1'459,35, TVA à 8.1% comprise, pour l’activité de son avocat en instance de recours (à raison de 3 heures au tarif d'avocat de CHF 450.-/h.).</w:t>
      </w:r>
    </w:p>
    <w:p>
      <w:r>
        <w:t>Ce montant semble approprié eu égard au travail fourni, de sorte que l'indemnité sollicitée sera octroyée. * * * * *</w:t>
      </w:r>
    </w:p>
    <w:p>
      <w:r>
        <w:t>- 9/9 - P/22314/2020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