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ACPR/552/2022 vom 7. Juni 2022</w:t>
      </w:r>
    </w:p>
    <w:p>
      <w:r>
        <w:t>GE Cour de justice, 2022-06-07, FR</w:t>
      </w:r>
    </w:p>
    <w:p>
      <w:r>
        <w:rPr>
          <w:b/>
        </w:rPr>
        <w:t xml:space="preserve">Quelle: </w:t>
      </w:r>
      <w:r>
        <w:t>https://mcp.opencaselaw.ch/entscheid/ge_gerichte_ACPR_552_2022</w:t>
      </w:r>
    </w:p>
    <w:p>
      <w:r>
        <w:t>FR: GE_GERICHTE ACPR/552/2022 du 7 juin 2022</w:t>
      </w:r>
    </w:p>
    <w:p>
      <w:r>
        <w:t>IT: GE_GERICHTE ACPR/552/2022 del 7 giugno 2022</w:t>
      </w:r>
    </w:p>
    <w:p>
      <w:pPr>
        <w:pStyle w:val="Heading2"/>
      </w:pPr>
      <w:r>
        <w:t>Erwägungen</w:t>
      </w:r>
    </w:p>
    <w:p>
      <w:r>
        <w:rPr>
          <w:b/>
        </w:rPr>
        <w:t>E. 13</w:t>
      </w:r>
    </w:p>
    <w:p>
      <w:r>
        <w:t>mars 2013; ACPR/207/2013 du 10 mai 2013); - les frais de recours seront dès lors laissés à la charge de l'État; - les prétentions en indemnités dans la procédure de recours sont régies par les art. 429 à 434 CPP (art. 436 al. 1 CPP); - l'art. 433 al. 1 CPP prévoit l’octroi d’une juste indemnité à la partie plaignante pour les dépenses occasionnées par la procédure, qu'elle doit chiffrer et justifier. Si elle ne s'acquitte pas de cette obligation, l'autorité pénale n'entre pas en matière sur la demande (art. 433 al. 2 CPP); - en l'espèce, le recourant, partie plaignante, s'est limité à réclamer une indemnité de CHF 2'000.- pour ses dépenses occasionnées par le recours, sans la détailler ni fournir la note d'honoraires de son avocat; - il ne sera dès lors pas entré en matière sur ce point. * * * * *</w:t>
      </w:r>
    </w:p>
    <w:p>
      <w:r>
        <w:t>- 3/3 - P/19058/2021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