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ACPR/552/2021 vom 26. Februar 2021</w:t>
      </w:r>
    </w:p>
    <w:p>
      <w:r>
        <w:t>GE Cour de justice, 2021-02-26, FR</w:t>
      </w:r>
    </w:p>
    <w:p>
      <w:r>
        <w:rPr>
          <w:b/>
        </w:rPr>
        <w:t xml:space="preserve">Quelle: </w:t>
      </w:r>
      <w:r>
        <w:t>https://mcp.opencaselaw.ch/entscheid/ge_gerichte_ACPR_552_2021</w:t>
      </w:r>
    </w:p>
    <w:p>
      <w:r>
        <w:t>FR: GE_GERICHTE ACPR/552/2021 du 26 février 2021</w:t>
      </w:r>
    </w:p>
    <w:p>
      <w:r>
        <w:t>IT: GE_GERICHTE ACPR/552/2021 del 26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- 4/8 - P/20687/2020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avoir été victime d'une escroquerie.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w:t>
      </w:r>
    </w:p>
    <w:p>
      <w:r>
        <w:t>Pour qu'il y ait escroquerie, une simple tromperie ne suffit pas. Il faut encore qu'elle soit astucieuse. Ainsi en va-t-il, lorsque l'auteur recourt à un édifice de mensonges, à des manoeuvres frauduleuses ou à une mise en scène, mais aussi lorsqu'il donne simplement de fausses informations, si leur vérification n'est pas</w:t>
      </w:r>
    </w:p>
    <w:p>
      <w:r>
        <w:t>- 5/8 - P/20687/2020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3.4</w:t>
      </w:r>
    </w:p>
    <w:p>
      <w:r>
        <w:t>En l'espèce, les déclarations des parties ne concordent pas s'agissant des circonstances dans lesquelles le recourant a remis l'argent au mis en cause; il y a lieu de se fonder sur la crédibilité des déclarations des parties, d'une part, et, d'autre part, sur les circonstances ayant entouré les faits dénoncés. Il n'est pas contesté que le recourant a remis, en Suisse et en France, EUR 4'400.- volontairement au mis en cause. Le premier soutient que l'argent était destiné à donner à manger aux enfants du second alors que ce dernier prétend qu'il devait lui permettre de payer une dette de jeu. Cela étant, le recourant a déclaré que l'individu lui avait dit avoir besoin de nourriture pour environ CHF 100.-. On peine dès lors à comprendre pourquoi il a retiré EUR 1'000.- pour les remettre à cette personne et le suivre, ensuite, en France pour encore lui remettre EUR 3'400.-. Les explications du mis en cause selon lesquelles il avait besoin d'argent pour payer une dette de jeu répondent plus vraisemblablement à cette question. Le recourant n'apparait ainsi pas avoir été trompé sur ce point. On ne saurait non plus sérieusement soutenir que son état allégué de fatigue le rendait vulnérable aux sollicitations du mis en cause. Il ressort des déclarations des deux parties qu'une reconnaissance de dette aurait dû être établie mais que le mis en cause serait parti sans revenir la donner au plaignant. Cela ne permet pas de retenir une tromperie astucieuse. L'affirmation – fallacieuse – du mis en cause, parti avec l'argent, qu'il allait faire établir par sa femme ledit document n'apparaît pas comme étant un édifice de mensonges ou une manoeuvre frauduleuse contre lesquels le recourant ne pouvait pas se protéger avec un minimum d'attention. En particulier, le recourant n'explique pas pourquoi il n'a pas attendu la réception de cette reconnaissance de dettes ou établi lui-même ledit document, avant de remettre l'argent.</w:t>
      </w:r>
    </w:p>
    <w:p>
      <w:r>
        <w:t>- 6/8 - P/20687/2020 Il apparaît que le recourant était disposé à prêter une importante somme d'argent à un inconnu lequel ne conteste pas devoir la lui rembourser. Force est d'admettre avec le Ministère public que l'on est en présence d'un prêt, de sorte qu'une infraction d'escroquerie ne saurait être retenue.</w:t>
      </w:r>
    </w:p>
    <w:p>
      <w:r>
        <w:rPr>
          <w:b/>
        </w:rPr>
        <w:t>E. 4</w:t>
      </w:r>
    </w:p>
    <w:p>
      <w:r>
        <w:t>Le recourant, qui succombe, supportera les frais envers l'État, fixés en totalité à CHF 600.- (art. 428 al. 1 CPP et 13 al. 1 du Règlement fixant le tarif des frais en matière pénale, RTFMP ; E 4 10.03). * * * * *</w:t>
      </w:r>
    </w:p>
    <w:p>
      <w:r>
        <w:t>- 7/8 - P/20687/2020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