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ACPR/550/2025 vom 16. Juni 2025</w:t>
      </w:r>
    </w:p>
    <w:p>
      <w:r>
        <w:t>GE Cour de justice, 2025-06-16, FR</w:t>
      </w:r>
    </w:p>
    <w:p>
      <w:r>
        <w:rPr>
          <w:b/>
        </w:rPr>
        <w:t xml:space="preserve">Quelle: </w:t>
      </w:r>
      <w:r>
        <w:t>https://mcp.opencaselaw.ch/entscheid/ge_gerichte_ACPR_550_2025</w:t>
      </w:r>
    </w:p>
    <w:p>
      <w:r>
        <w:t>FR: GE_GERICHTE ACPR/550/2025 du 16 juin 2025</w:t>
      </w:r>
    </w:p>
    <w:p>
      <w:r>
        <w:t>IT: GE_GERICHTE ACPR/550/2025 del 16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se plaint d'une constatation inexacte et incomplète des faits par le TMC.</w:t>
      </w:r>
    </w:p>
    <w:p>
      <w:r>
        <w:t>- 7/12 - P/6540/2025 Dès lors que la Chambre de céans jouit d'un plein pouvoir d'examen en droit et en fait (art. 398 al. 2 CPP; arrêt du Tribunal fédéral 7B_235/2024 du 23 août 2024 consid. 2.3), les éventuelles constatations incomplètes ou inexactes du TMC auront été corrigées dans l'état de fait établi ci-devant.</w:t>
      </w:r>
    </w:p>
    <w:p>
      <w:r>
        <w:rPr>
          <w:b/>
        </w:rPr>
        <w:t>E. 3</w:t>
      </w:r>
    </w:p>
    <w:p>
      <w:r>
        <w:t>Le recourant conteste l'existence de charges suffisantes.</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3.2</w:t>
      </w:r>
    </w:p>
    <w:p>
      <w:r>
        <w:t>En l'occurrence, dans l'ordonnance de mise en détention provisoire du 19 mars 2025 – non contestée par le prévenu –, le TMC relevait que les charges étaient suffisantes "compte tenu des constatations [de la police] lors de son arrivée au domicile conjugal, de la plainte pénale déposée et des photographies […] versées à la procédure. À cela s'ajout[ait] que, C______ disposant déjà d'un permis B, les prétendus bénéfices qu'elle pourrait tirer de ses accusations contre le prévenu sembl[aient] peu plausibles". La plaignante a maintenu ses déclarations lors des audiences de confrontation, à savoir que le prévenu l'avait séquestrée, menacée et frappée. Le fait qu'elle ne soutienne plus, comme à la police, avoir été contrainte à entretenir des relations sexuelles en présence de leur fils, voire explique que le prévenu aimait celui-ci, ne saurait suffire à remettre en cause sa version, étant souligné qu'elle a aussi déclaré ne pas vouloir porter préjudice à son époux et ne pas avoir "envie de [se] rappeler de cela". Des soupçons de faits graves et suffisants continuent ainsi de peser sur le recourant. En tout état, il reviendra au juge du fond, et non à celui de la détention, d'apprécier les éventuelles variations dans le discours de la plaignante. En l'état, la perspective d'une condamnation apparaît toujours avec une vraisemblance suffisante. Le grief est ainsi rejeté.</w:t>
      </w:r>
    </w:p>
    <w:p>
      <w:r>
        <w:rPr>
          <w:b/>
        </w:rPr>
        <w:t>E. 4</w:t>
      </w:r>
    </w:p>
    <w:p>
      <w:r>
        <w:t>Le recourant conteste le risque de collusion.</w:t>
      </w:r>
    </w:p>
    <w:p>
      <w:r>
        <w:t>- 8/12 - P/6540/2025</w:t>
      </w:r>
    </w:p>
    <w:p>
      <w:r>
        <w:rPr>
          <w:b/>
        </w:rPr>
        <w:t>E. 4.1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4.2</w:t>
      </w:r>
    </w:p>
    <w:p>
      <w:r>
        <w:t>En l'espèce, c'est à juste titre que le TMC a retenu un risque de collusion très concret, vis-à-vis de la plaignante. Quoi qu'en dise le recourant, qui conteste l'intégralité des faits reprochés, l'intervention de ses proches était apparemment destinée à convaincre la plaignante de retirer sa plainte, étant souligné qu'un ami du prévenu n'a pas hésité à l'accompagner, dans ce but, au poste de police. Vu ce contexte, il est plausible qu'il continue à intervenir – directement ou par le biais de tiers – auprès de son épouse, pour qu'elle retire sa plainte ou pour l'amener à modifier ses déclarations en sa faveur. Aucune mesure de substitution ne permet, en l'état, de prévenir le risque d'entrave à la vérité. L'engagement du recourant à ne pas prendre contact avec la plaignante apparaît clairement insuffisant, compte tenu des enjeux de la procédure pour lui. En outre, il ne peut être exclu qu'il sollicite d'autres proches – connus de lui seul – pour approcher son épouse, étant souligné que l'interdiction d'entrer en contact au sens de l'art. 237 al. 2 let. g CPP ne peut en principe porter que sur des personnes déterminées (arrêts 1B_485/2019 du 12 novembre 2019 consid. 3.4.2; 1B_121/2019 du 8 avril 2019 consid. 4.4). Le grief est rejeté.</w:t>
      </w:r>
    </w:p>
    <w:p>
      <w:r>
        <w:rPr>
          <w:b/>
        </w:rPr>
        <w:t>E. 5</w:t>
      </w:r>
    </w:p>
    <w:p>
      <w:r>
        <w:t>Le recourant conteste le risque de réitération.</w:t>
      </w:r>
    </w:p>
    <w:p>
      <w:r>
        <w:rPr>
          <w:b/>
        </w:rPr>
        <w:t>E. 5.1</w:t>
      </w:r>
    </w:p>
    <w:p>
      <w:r>
        <w:t>L'art. 221 al. 1 let. c CPP, relatif au risque de récidive, dans sa nouvelle teneur au 1er janvier 2024 (RO 2023 468), présuppose désormais que l'auteur compromette</w:t>
      </w:r>
    </w:p>
    <w:p>
      <w:r>
        <w:t>- 9/12 - P/6540/2025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(ATF 150 IV 149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5.2</w:t>
      </w:r>
    </w:p>
    <w:p>
      <w:r>
        <w:t>Contrairement à ce que soutient le recourant, il présente un risque de récidive concret. Il a déjà été condamné, en 2009, à une peine conséquente [3 ans de peine privative de liberté], pour des violences domestiques, ce qui ne semble pas l'avoir dissuadé de commettre des faits similaires à l'endroit de sa nouvelle épouse. Les caractéristiques de sa personnalité ont déjà été considérées par les experts comme pouvant être en lien avec des violences conjugales, étant souligné que l'ancienneté de telles conclusions et la condamnation qui s'en est suivie, ne sauraient amoindrir le risque de récidive retenu. Seule la nouvelle expertise psychiatrique mise en œuvre par le Ministère public permettra de préciser l'appréciation des premiers experts et de déterminer, le cas échéant, quelles mesures devraient être mises en œuvre pour pallier un tel risque. C'est ainsi à bon droit que, conformément à la jurisprudence citée, le TMC a retenu un risque de récidive. Aucune mesure de substitution n'est, à ce stade, envisageable pour le prévenir, le traitement ambulatoire – dont on ignore la nature précise – semblant avoir démontré ses limites.</w:t>
      </w:r>
    </w:p>
    <w:p>
      <w:r>
        <w:rPr>
          <w:b/>
        </w:rPr>
        <w:t>E. 6</w:t>
      </w:r>
    </w:p>
    <w:p>
      <w:r>
        <w:t>Compte tenu de la gravité des charges retenues, la durée de la détention provisoire, subie à ce jour et à l'échéance de la prolongation fixée, respecte le principe de la proportionnalité (art. 197 al. 1 et 212 al. 3 CPP).</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E 4 10.03). En effet, l'autorité de recours est tenue</w:t>
      </w:r>
    </w:p>
    <w:p>
      <w:r>
        <w:t>- 10/12 - P/6540/2025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de ce recours ne procède pas d'un abus. L'indemnité du défenseur d'office sera fixée à la fin de la procédure (art. 135 al. 2 CPP). * * * * *</w:t>
      </w:r>
    </w:p>
    <w:p>
      <w:r>
        <w:t>- 11/12 - P/6540/2025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